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9FA40" w14:textId="23DFBD9B" w:rsidR="003A551B" w:rsidRPr="00EA18CA" w:rsidRDefault="00D363CF" w:rsidP="00EA18CA">
      <w:pPr>
        <w:spacing w:after="240"/>
        <w:jc w:val="center"/>
        <w:rPr>
          <w:b/>
          <w:bCs/>
          <w:i/>
          <w:iCs/>
        </w:rPr>
      </w:pPr>
      <w:r w:rsidRPr="00EA18CA">
        <w:rPr>
          <w:b/>
          <w:bCs/>
          <w:i/>
          <w:iCs/>
          <w:noProof/>
        </w:rPr>
        <mc:AlternateContent>
          <mc:Choice Requires="wps">
            <w:drawing>
              <wp:anchor distT="0" distB="0" distL="114300" distR="114300" simplePos="0" relativeHeight="251667456" behindDoc="0" locked="0" layoutInCell="1" allowOverlap="1" wp14:anchorId="17A70945" wp14:editId="4C261C77">
                <wp:simplePos x="0" y="0"/>
                <wp:positionH relativeFrom="column">
                  <wp:posOffset>953135</wp:posOffset>
                </wp:positionH>
                <wp:positionV relativeFrom="paragraph">
                  <wp:posOffset>-843915</wp:posOffset>
                </wp:positionV>
                <wp:extent cx="4794636" cy="492981"/>
                <wp:effectExtent l="0" t="0" r="0" b="2540"/>
                <wp:wrapNone/>
                <wp:docPr id="60988328" name="Text Box 1"/>
                <wp:cNvGraphicFramePr/>
                <a:graphic xmlns:a="http://schemas.openxmlformats.org/drawingml/2006/main">
                  <a:graphicData uri="http://schemas.microsoft.com/office/word/2010/wordprocessingShape">
                    <wps:wsp>
                      <wps:cNvSpPr txBox="1"/>
                      <wps:spPr>
                        <a:xfrm>
                          <a:off x="0" y="0"/>
                          <a:ext cx="4794636" cy="492981"/>
                        </a:xfrm>
                        <a:prstGeom prst="rect">
                          <a:avLst/>
                        </a:prstGeom>
                        <a:noFill/>
                        <a:ln>
                          <a:noFill/>
                        </a:ln>
                      </wps:spPr>
                      <wps:txbx>
                        <w:txbxContent>
                          <w:p w14:paraId="32947CDB" w14:textId="6CAA95EF" w:rsidR="00986512" w:rsidRPr="00D363CF" w:rsidRDefault="00986512" w:rsidP="00986512">
                            <w:pPr>
                              <w:spacing w:after="240"/>
                              <w:jc w:val="center"/>
                              <w:rPr>
                                <w:rFonts w:ascii="Comica Boom" w:hAnsi="Comica Boom"/>
                                <w:bCs/>
                                <w:noProof/>
                                <w:color w:val="FFFFFF" w:themeColor="background1"/>
                                <w:sz w:val="48"/>
                                <w:szCs w:val="48"/>
                                <w14:shadow w14:blurRad="50800" w14:dist="38100" w14:dir="18900000" w14:sx="100000" w14:sy="100000" w14:kx="0" w14:ky="0" w14:algn="bl">
                                  <w14:srgbClr w14:val="000000">
                                    <w14:alpha w14:val="60000"/>
                                  </w14:srgbClr>
                                </w14:shadow>
                                <w14:textOutline w14:w="9525" w14:cap="flat" w14:cmpd="sng" w14:algn="ctr">
                                  <w14:solidFill>
                                    <w14:schemeClr w14:val="accent5"/>
                                  </w14:solidFill>
                                  <w14:prstDash w14:val="solid"/>
                                  <w14:round/>
                                </w14:textOutline>
                              </w:rPr>
                            </w:pPr>
                            <w:r w:rsidRPr="00D363CF">
                              <w:rPr>
                                <w:rFonts w:ascii="Comica Boom" w:hAnsi="Comica Boom"/>
                                <w:bCs/>
                                <w:noProof/>
                                <w:color w:val="FFFFFF" w:themeColor="background1"/>
                                <w:sz w:val="40"/>
                                <w:szCs w:val="40"/>
                                <w14:shadow w14:blurRad="50800" w14:dist="38100" w14:dir="18900000" w14:sx="100000" w14:sy="100000" w14:kx="0" w14:ky="0" w14:algn="bl">
                                  <w14:srgbClr w14:val="000000">
                                    <w14:alpha w14:val="60000"/>
                                  </w14:srgbClr>
                                </w14:shadow>
                                <w14:textOutline w14:w="9525" w14:cap="flat" w14:cmpd="sng" w14:algn="ctr">
                                  <w14:noFill/>
                                  <w14:prstDash w14:val="solid"/>
                                  <w14:round/>
                                </w14:textOutline>
                              </w:rPr>
                              <w:t>AFNAN</w:t>
                            </w:r>
                            <w:r w:rsidR="00B205B5" w:rsidRPr="00D363CF">
                              <w:rPr>
                                <w:rFonts w:ascii="Comica Boom" w:hAnsi="Comica Boom"/>
                                <w:bCs/>
                                <w:noProof/>
                                <w:color w:val="FFFFFF" w:themeColor="background1"/>
                                <w:sz w:val="48"/>
                                <w:szCs w:val="48"/>
                                <w14:shadow w14:blurRad="50800" w14:dist="38100" w14:dir="18900000" w14:sx="100000" w14:sy="100000" w14:kx="0" w14:ky="0" w14:algn="bl">
                                  <w14:srgbClr w14:val="000000">
                                    <w14:alpha w14:val="60000"/>
                                  </w14:srgbClr>
                                </w14:shadow>
                                <w14:textOutline w14:w="9525" w14:cap="flat" w14:cmpd="sng" w14:algn="ctr">
                                  <w14:solidFill>
                                    <w14:schemeClr w14:val="accent5"/>
                                  </w14:solidFill>
                                  <w14:prstDash w14:val="solid"/>
                                  <w14:round/>
                                </w14:textOutline>
                              </w:rPr>
                              <w:t xml:space="preserve">: </w:t>
                            </w:r>
                            <w:r w:rsidR="00B205B5" w:rsidRPr="00D363CF">
                              <w:rPr>
                                <w:rFonts w:ascii="Comic Sans MS" w:hAnsi="Comic Sans MS"/>
                                <w:bCs/>
                                <w:noProof/>
                                <w:color w:val="FFFFFF" w:themeColor="background1"/>
                                <w:sz w:val="28"/>
                                <w:szCs w:val="28"/>
                                <w14:shadow w14:blurRad="50800" w14:dist="38100" w14:dir="18900000" w14:sx="100000" w14:sy="100000" w14:kx="0" w14:ky="0" w14:algn="bl">
                                  <w14:srgbClr w14:val="000000">
                                    <w14:alpha w14:val="60000"/>
                                  </w14:srgbClr>
                                </w14:shadow>
                                <w14:textOutline w14:w="9525" w14:cap="flat" w14:cmpd="sng" w14:algn="ctr">
                                  <w14:noFill/>
                                  <w14:prstDash w14:val="solid"/>
                                  <w14:round/>
                                </w14:textOutline>
                              </w:rPr>
                              <w:t>Journal of Islamic Studies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A70945" id="_x0000_t202" coordsize="21600,21600" o:spt="202" path="m,l,21600r21600,l21600,xe">
                <v:stroke joinstyle="miter"/>
                <v:path gradientshapeok="t" o:connecttype="rect"/>
              </v:shapetype>
              <v:shape id="Text Box 1" o:spid="_x0000_s1026" type="#_x0000_t202" style="position:absolute;left:0;text-align:left;margin-left:75.05pt;margin-top:-66.45pt;width:377.55pt;height:3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" filled="f" stroked="f">
                <v:textbox>
                  <w:txbxContent>
                    <w:p w14:paraId="32947CDB" w14:textId="6CAA95EF" w:rsidR="00986512" w:rsidRPr="00D363CF" w:rsidRDefault="00986512" w:rsidP="00986512">
                      <w:pPr>
                        <w:spacing w:after="240"/>
                        <w:jc w:val="center"/>
                        <w:rPr>
                          <w:rFonts w:ascii="Comica Boom" w:hAnsi="Comica Boom"/>
                          <w:bCs/>
                          <w:noProof/>
                          <w:color w:val="FFFFFF" w:themeColor="background1"/>
                          <w:sz w:val="48"/>
                          <w:szCs w:val="48"/>
                          <w14:shadow w14:blurRad="50800" w14:dist="38100" w14:dir="18900000" w14:sx="100000" w14:sy="100000" w14:kx="0" w14:ky="0" w14:algn="bl">
                            <w14:srgbClr w14:val="000000">
                              <w14:alpha w14:val="60000"/>
                            </w14:srgbClr>
                          </w14:shadow>
                          <w14:textOutline w14:w="9525" w14:cap="flat" w14:cmpd="sng" w14:algn="ctr">
                            <w14:solidFill>
                              <w14:schemeClr w14:val="accent5"/>
                            </w14:solidFill>
                            <w14:prstDash w14:val="solid"/>
                            <w14:round/>
                          </w14:textOutline>
                        </w:rPr>
                      </w:pPr>
                      <w:r w:rsidRPr="00D363CF">
                        <w:rPr>
                          <w:rFonts w:ascii="Comica Boom" w:hAnsi="Comica Boom"/>
                          <w:bCs/>
                          <w:noProof/>
                          <w:color w:val="FFFFFF" w:themeColor="background1"/>
                          <w:sz w:val="40"/>
                          <w:szCs w:val="40"/>
                          <w14:shadow w14:blurRad="50800" w14:dist="38100" w14:dir="18900000" w14:sx="100000" w14:sy="100000" w14:kx="0" w14:ky="0" w14:algn="bl">
                            <w14:srgbClr w14:val="000000">
                              <w14:alpha w14:val="60000"/>
                            </w14:srgbClr>
                          </w14:shadow>
                          <w14:textOutline w14:w="9525" w14:cap="flat" w14:cmpd="sng" w14:algn="ctr">
                            <w14:noFill/>
                            <w14:prstDash w14:val="solid"/>
                            <w14:round/>
                          </w14:textOutline>
                        </w:rPr>
                        <w:t>AFNAN</w:t>
                      </w:r>
                      <w:r w:rsidR="00B205B5" w:rsidRPr="00D363CF">
                        <w:rPr>
                          <w:rFonts w:ascii="Comica Boom" w:hAnsi="Comica Boom"/>
                          <w:bCs/>
                          <w:noProof/>
                          <w:color w:val="FFFFFF" w:themeColor="background1"/>
                          <w:sz w:val="48"/>
                          <w:szCs w:val="48"/>
                          <w14:shadow w14:blurRad="50800" w14:dist="38100" w14:dir="18900000" w14:sx="100000" w14:sy="100000" w14:kx="0" w14:ky="0" w14:algn="bl">
                            <w14:srgbClr w14:val="000000">
                              <w14:alpha w14:val="60000"/>
                            </w14:srgbClr>
                          </w14:shadow>
                          <w14:textOutline w14:w="9525" w14:cap="flat" w14:cmpd="sng" w14:algn="ctr">
                            <w14:solidFill>
                              <w14:schemeClr w14:val="accent5"/>
                            </w14:solidFill>
                            <w14:prstDash w14:val="solid"/>
                            <w14:round/>
                          </w14:textOutline>
                        </w:rPr>
                        <w:t xml:space="preserve">: </w:t>
                      </w:r>
                      <w:r w:rsidR="00B205B5" w:rsidRPr="00D363CF">
                        <w:rPr>
                          <w:rFonts w:ascii="Comic Sans MS" w:hAnsi="Comic Sans MS"/>
                          <w:bCs/>
                          <w:noProof/>
                          <w:color w:val="FFFFFF" w:themeColor="background1"/>
                          <w:sz w:val="28"/>
                          <w:szCs w:val="28"/>
                          <w14:shadow w14:blurRad="50800" w14:dist="38100" w14:dir="18900000" w14:sx="100000" w14:sy="100000" w14:kx="0" w14:ky="0" w14:algn="bl">
                            <w14:srgbClr w14:val="000000">
                              <w14:alpha w14:val="60000"/>
                            </w14:srgbClr>
                          </w14:shadow>
                          <w14:textOutline w14:w="9525" w14:cap="flat" w14:cmpd="sng" w14:algn="ctr">
                            <w14:noFill/>
                            <w14:prstDash w14:val="solid"/>
                            <w14:round/>
                          </w14:textOutline>
                        </w:rPr>
                        <w:t>Journal of Islamic Studies</w:t>
                      </w:r>
                    </w:p>
                  </w:txbxContent>
                </v:textbox>
              </v:shape>
            </w:pict>
          </mc:Fallback>
        </mc:AlternateContent>
      </w:r>
      <w:r w:rsidR="0000390F" w:rsidRPr="00EA18CA">
        <w:rPr>
          <w:b/>
          <w:bCs/>
          <w:i/>
          <w:iCs/>
          <w:noProof/>
        </w:rPr>
        <mc:AlternateContent>
          <mc:Choice Requires="wps">
            <w:drawing>
              <wp:anchor distT="0" distB="0" distL="114300" distR="114300" simplePos="0" relativeHeight="251663360" behindDoc="0" locked="0" layoutInCell="1" allowOverlap="1" wp14:anchorId="7445C984" wp14:editId="7F08693C">
                <wp:simplePos x="0" y="0"/>
                <wp:positionH relativeFrom="column">
                  <wp:posOffset>-53009</wp:posOffset>
                </wp:positionH>
                <wp:positionV relativeFrom="paragraph">
                  <wp:posOffset>-873125</wp:posOffset>
                </wp:positionV>
                <wp:extent cx="1320800" cy="436880"/>
                <wp:effectExtent l="0" t="0" r="0" b="1270"/>
                <wp:wrapNone/>
                <wp:docPr id="1163891400" name="Text Box 1"/>
                <wp:cNvGraphicFramePr/>
                <a:graphic xmlns:a="http://schemas.openxmlformats.org/drawingml/2006/main">
                  <a:graphicData uri="http://schemas.microsoft.com/office/word/2010/wordprocessingShape">
                    <wps:wsp>
                      <wps:cNvSpPr txBox="1"/>
                      <wps:spPr>
                        <a:xfrm>
                          <a:off x="0" y="0"/>
                          <a:ext cx="1320800" cy="436880"/>
                        </a:xfrm>
                        <a:prstGeom prst="rect">
                          <a:avLst/>
                        </a:prstGeom>
                        <a:noFill/>
                        <a:ln>
                          <a:noFill/>
                        </a:ln>
                      </wps:spPr>
                      <wps:txbx>
                        <w:txbxContent>
                          <w:p w14:paraId="74DFEC83" w14:textId="0DB62433" w:rsidR="00986512" w:rsidRPr="00986512" w:rsidRDefault="00986512" w:rsidP="00986512">
                            <w:pPr>
                              <w:spacing w:after="240"/>
                              <w:jc w:val="center"/>
                              <w:rPr>
                                <w:rFonts w:ascii="Comica Boom" w:hAnsi="Comica Boom"/>
                                <w:bCs/>
                                <w:noProof/>
                                <w:color w:val="5B9BD5" w:themeColor="accent5"/>
                                <w:sz w:val="48"/>
                                <w:szCs w:val="48"/>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pPr>
                            <w:r w:rsidRPr="00986512">
                              <w:rPr>
                                <w:rFonts w:ascii="Comica Boom" w:hAnsi="Comica Boom"/>
                                <w:bCs/>
                                <w:noProof/>
                                <w:color w:val="5B9BD5" w:themeColor="accent5"/>
                                <w:sz w:val="48"/>
                                <w:szCs w:val="48"/>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t>AFNAN</w:t>
                            </w:r>
                            <w:r w:rsidRPr="00986512">
                              <w:rPr>
                                <w:rFonts w:ascii="Comica Boom" w:hAnsi="Comica Boom"/>
                                <w:bCs/>
                                <w:noProof/>
                                <w:color w:val="5B9BD5" w:themeColor="accent5"/>
                                <w:sz w:val="48"/>
                                <w:szCs w:val="48"/>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drawing>
                                <wp:inline distT="0" distB="0" distL="0" distR="0" wp14:anchorId="4123F8B3" wp14:editId="5F424DF9">
                                  <wp:extent cx="1095375" cy="474345"/>
                                  <wp:effectExtent l="0" t="0" r="0" b="0"/>
                                  <wp:docPr id="1948343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375" cy="4743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5C984" id="_x0000_s1027" type="#_x0000_t202" style="position:absolute;left:0;text-align:left;margin-left:-4.15pt;margin-top:-68.75pt;width:104pt;height:3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" filled="f" stroked="f">
                <v:textbox>
                  <w:txbxContent>
                    <w:p w14:paraId="74DFEC83" w14:textId="0DB62433" w:rsidR="00986512" w:rsidRPr="00986512" w:rsidRDefault="00986512" w:rsidP="00986512">
                      <w:pPr>
                        <w:spacing w:after="240"/>
                        <w:jc w:val="center"/>
                        <w:rPr>
                          <w:rFonts w:ascii="Comica Boom" w:hAnsi="Comica Boom"/>
                          <w:bCs/>
                          <w:noProof/>
                          <w:color w:val="5B9BD5" w:themeColor="accent5"/>
                          <w:sz w:val="48"/>
                          <w:szCs w:val="48"/>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pPr>
                      <w:r w:rsidRPr="00986512">
                        <w:rPr>
                          <w:rFonts w:ascii="Comica Boom" w:hAnsi="Comica Boom"/>
                          <w:bCs/>
                          <w:noProof/>
                          <w:color w:val="5B9BD5" w:themeColor="accent5"/>
                          <w:sz w:val="48"/>
                          <w:szCs w:val="48"/>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t>AFNAN</w:t>
                      </w:r>
                      <w:r w:rsidRPr="00986512">
                        <w:rPr>
                          <w:rFonts w:ascii="Comica Boom" w:hAnsi="Comica Boom"/>
                          <w:bCs/>
                          <w:noProof/>
                          <w:color w:val="5B9BD5" w:themeColor="accent5"/>
                          <w:sz w:val="48"/>
                          <w:szCs w:val="48"/>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drawing>
                          <wp:inline distT="0" distB="0" distL="0" distR="0" wp14:anchorId="4123F8B3" wp14:editId="5F424DF9">
                            <wp:extent cx="1095375" cy="474345"/>
                            <wp:effectExtent l="0" t="0" r="0" b="0"/>
                            <wp:docPr id="1948343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375" cy="474345"/>
                                    </a:xfrm>
                                    <a:prstGeom prst="rect">
                                      <a:avLst/>
                                    </a:prstGeom>
                                    <a:noFill/>
                                    <a:ln>
                                      <a:noFill/>
                                    </a:ln>
                                  </pic:spPr>
                                </pic:pic>
                              </a:graphicData>
                            </a:graphic>
                          </wp:inline>
                        </w:drawing>
                      </w:r>
                    </w:p>
                  </w:txbxContent>
                </v:textbox>
              </v:shape>
            </w:pict>
          </mc:Fallback>
        </mc:AlternateContent>
      </w:r>
      <w:r w:rsidR="0000390F" w:rsidRPr="00EA18CA">
        <w:rPr>
          <w:b/>
          <w:bCs/>
          <w:i/>
          <w:iCs/>
          <w:noProof/>
        </w:rPr>
        <mc:AlternateContent>
          <mc:Choice Requires="wps">
            <w:drawing>
              <wp:anchor distT="0" distB="0" distL="114300" distR="114300" simplePos="0" relativeHeight="251665408" behindDoc="0" locked="0" layoutInCell="1" allowOverlap="1" wp14:anchorId="1CE45753" wp14:editId="7F774628">
                <wp:simplePos x="0" y="0"/>
                <wp:positionH relativeFrom="column">
                  <wp:posOffset>-61264</wp:posOffset>
                </wp:positionH>
                <wp:positionV relativeFrom="paragraph">
                  <wp:posOffset>-508635</wp:posOffset>
                </wp:positionV>
                <wp:extent cx="1391478" cy="214630"/>
                <wp:effectExtent l="0" t="0" r="0" b="0"/>
                <wp:wrapNone/>
                <wp:docPr id="241376949" name="Text Box 1"/>
                <wp:cNvGraphicFramePr/>
                <a:graphic xmlns:a="http://schemas.openxmlformats.org/drawingml/2006/main">
                  <a:graphicData uri="http://schemas.microsoft.com/office/word/2010/wordprocessingShape">
                    <wps:wsp>
                      <wps:cNvSpPr txBox="1"/>
                      <wps:spPr>
                        <a:xfrm>
                          <a:off x="0" y="0"/>
                          <a:ext cx="1391478" cy="214630"/>
                        </a:xfrm>
                        <a:prstGeom prst="rect">
                          <a:avLst/>
                        </a:prstGeom>
                        <a:noFill/>
                        <a:ln>
                          <a:noFill/>
                        </a:ln>
                      </wps:spPr>
                      <wps:txbx>
                        <w:txbxContent>
                          <w:p w14:paraId="3DE79E26" w14:textId="3C3A8505" w:rsidR="00986512" w:rsidRPr="00986512" w:rsidRDefault="00986512" w:rsidP="00986512">
                            <w:pPr>
                              <w:spacing w:after="240"/>
                              <w:jc w:val="center"/>
                              <w:rPr>
                                <w:rFonts w:ascii="Comic Sans MS" w:hAnsi="Comic Sans MS"/>
                                <w:bCs/>
                                <w:noProof/>
                                <w:color w:val="5B9BD5" w:themeColor="accent5"/>
                                <w:sz w:val="14"/>
                                <w:szCs w:val="14"/>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pPr>
                            <w:r w:rsidRPr="00986512">
                              <w:rPr>
                                <w:rFonts w:ascii="Comic Sans MS" w:hAnsi="Comic Sans MS"/>
                                <w:bCs/>
                                <w:noProof/>
                                <w:color w:val="5B9BD5" w:themeColor="accent5"/>
                                <w:sz w:val="14"/>
                                <w:szCs w:val="14"/>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t>Journal Of Islamic Studies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45753" id="_x0000_s1028" type="#_x0000_t202" style="position:absolute;left:0;text-align:left;margin-left:-4.8pt;margin-top:-40.05pt;width:109.55pt;height:1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" filled="f" stroked="f">
                <v:textbox>
                  <w:txbxContent>
                    <w:p w14:paraId="3DE79E26" w14:textId="3C3A8505" w:rsidR="00986512" w:rsidRPr="00986512" w:rsidRDefault="00986512" w:rsidP="00986512">
                      <w:pPr>
                        <w:spacing w:after="240"/>
                        <w:jc w:val="center"/>
                        <w:rPr>
                          <w:rFonts w:ascii="Comic Sans MS" w:hAnsi="Comic Sans MS"/>
                          <w:bCs/>
                          <w:noProof/>
                          <w:color w:val="5B9BD5" w:themeColor="accent5"/>
                          <w:sz w:val="14"/>
                          <w:szCs w:val="14"/>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pPr>
                      <w:r w:rsidRPr="00986512">
                        <w:rPr>
                          <w:rFonts w:ascii="Comic Sans MS" w:hAnsi="Comic Sans MS"/>
                          <w:bCs/>
                          <w:noProof/>
                          <w:color w:val="5B9BD5" w:themeColor="accent5"/>
                          <w:sz w:val="14"/>
                          <w:szCs w:val="14"/>
                          <w14:shadow w14:blurRad="50800" w14:dist="38100" w14:dir="0" w14:sx="100000" w14:sy="100000" w14:kx="0" w14:ky="0" w14:algn="l">
                            <w14:srgbClr w14:val="000000">
                              <w14:alpha w14:val="60000"/>
                            </w14:srgbClr>
                          </w14:shadow>
                          <w14:textOutline w14:w="9525" w14:cap="flat" w14:cmpd="sng" w14:algn="ctr">
                            <w14:noFill/>
                            <w14:prstDash w14:val="solid"/>
                            <w14:round/>
                          </w14:textOutline>
                        </w:rPr>
                        <w:t>Journal Of Islamic Studies</w:t>
                      </w:r>
                    </w:p>
                  </w:txbxContent>
                </v:textbox>
              </v:shape>
            </w:pict>
          </mc:Fallback>
        </mc:AlternateContent>
      </w:r>
      <w:r w:rsidR="0000390F" w:rsidRPr="00EA18CA">
        <w:rPr>
          <w:b/>
          <w:bCs/>
          <w:i/>
          <w:iCs/>
          <w:noProof/>
          <w:sz w:val="28"/>
          <w:szCs w:val="28"/>
        </w:rPr>
        <mc:AlternateContent>
          <mc:Choice Requires="wps">
            <w:drawing>
              <wp:anchor distT="0" distB="0" distL="114300" distR="114300" simplePos="0" relativeHeight="251661312" behindDoc="0" locked="0" layoutInCell="1" allowOverlap="1" wp14:anchorId="388BCA90" wp14:editId="0C82C1B0">
                <wp:simplePos x="0" y="0"/>
                <wp:positionH relativeFrom="column">
                  <wp:posOffset>29017</wp:posOffset>
                </wp:positionH>
                <wp:positionV relativeFrom="paragraph">
                  <wp:posOffset>-760951</wp:posOffset>
                </wp:positionV>
                <wp:extent cx="1220680" cy="469265"/>
                <wp:effectExtent l="0" t="0" r="17780" b="26035"/>
                <wp:wrapNone/>
                <wp:docPr id="1197428652" name="Rectangle 1"/>
                <wp:cNvGraphicFramePr/>
                <a:graphic xmlns:a="http://schemas.openxmlformats.org/drawingml/2006/main">
                  <a:graphicData uri="http://schemas.microsoft.com/office/word/2010/wordprocessingShape">
                    <wps:wsp>
                      <wps:cNvSpPr/>
                      <wps:spPr>
                        <a:xfrm>
                          <a:off x="0" y="0"/>
                          <a:ext cx="1220680" cy="469265"/>
                        </a:xfrm>
                        <a:prstGeom prst="rect">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DDF767" id="Rectangle 1" o:spid="_x0000_s1026" style="position:absolute;margin-left:2.3pt;margin-top:-59.9pt;width:96.1pt;height:3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" fillcolor="white [3201]" strokecolor="#4472c4 [3204]" strokeweight="1pt"/>
            </w:pict>
          </mc:Fallback>
        </mc:AlternateContent>
      </w:r>
      <w:r w:rsidR="0000390F" w:rsidRPr="00EA18CA">
        <w:rPr>
          <w:b/>
          <w:bCs/>
          <w:i/>
          <w:iCs/>
          <w:noProof/>
          <w:sz w:val="28"/>
          <w:szCs w:val="28"/>
        </w:rPr>
        <mc:AlternateContent>
          <mc:Choice Requires="wps">
            <w:drawing>
              <wp:anchor distT="0" distB="0" distL="114300" distR="114300" simplePos="0" relativeHeight="251659264" behindDoc="0" locked="0" layoutInCell="1" allowOverlap="1" wp14:anchorId="01C15125" wp14:editId="73D4E981">
                <wp:simplePos x="0" y="0"/>
                <wp:positionH relativeFrom="column">
                  <wp:posOffset>-17559</wp:posOffset>
                </wp:positionH>
                <wp:positionV relativeFrom="paragraph">
                  <wp:posOffset>-849300</wp:posOffset>
                </wp:positionV>
                <wp:extent cx="5837914" cy="618711"/>
                <wp:effectExtent l="38100" t="57150" r="48895" b="48260"/>
                <wp:wrapNone/>
                <wp:docPr id="56643620" name="Rectangle 1"/>
                <wp:cNvGraphicFramePr/>
                <a:graphic xmlns:a="http://schemas.openxmlformats.org/drawingml/2006/main">
                  <a:graphicData uri="http://schemas.microsoft.com/office/word/2010/wordprocessingShape">
                    <wps:wsp>
                      <wps:cNvSpPr/>
                      <wps:spPr>
                        <a:xfrm>
                          <a:off x="0" y="0"/>
                          <a:ext cx="5837914" cy="618711"/>
                        </a:xfrm>
                        <a:prstGeom prst="rect">
                          <a:avLst/>
                        </a:prstGeom>
                        <a:ln>
                          <a:noFill/>
                        </a:ln>
                        <a:scene3d>
                          <a:camera prst="orthographicFront"/>
                          <a:lightRig rig="threePt" dir="t"/>
                        </a:scene3d>
                        <a:sp3d>
                          <a:bevelT/>
                        </a:sp3d>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F6376" id="Rectangle 1" o:spid="_x0000_s1026" style="position:absolute;margin-left:-1.4pt;margin-top:-66.85pt;width:459.7pt;height:4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" fillcolor="#91bce3 [2168]" stroked="f" strokeweight=".5pt">
                <v:fill color2="#7aaddd [2616]" rotate="t" colors="0 #b1cbe9;.5 #a3c1e5;1 #92b9e4" focus="100%" type="gradient">
                  <o:fill v:ext="view" type="gradientUnscaled"/>
                </v:fill>
              </v:rect>
            </w:pict>
          </mc:Fallback>
        </mc:AlternateContent>
      </w:r>
      <w:r w:rsidR="00EA18CA" w:rsidRPr="00EA18CA">
        <w:rPr>
          <w:b/>
          <w:bCs/>
          <w:i/>
          <w:iCs/>
          <w:noProof/>
        </w:rPr>
        <w:t>IMPLEMENTATION OF AL-WASFU RULES IN QS. AL-BAQARAH:2 (ANALYSIS OF THE INTERPRETATIONS OF ZAMAKHSHARI AND WAHBAH AZ-ZUHAILI)</w:t>
      </w:r>
    </w:p>
    <w:p w14:paraId="1B926AA7" w14:textId="212C8704" w:rsidR="003A551B" w:rsidRDefault="00EA18CA" w:rsidP="00EA18CA">
      <w:pPr>
        <w:spacing w:before="200" w:after="20"/>
        <w:jc w:val="center"/>
      </w:pPr>
      <w:r w:rsidRPr="00EA18CA">
        <w:rPr>
          <w:b/>
          <w:bCs/>
        </w:rPr>
        <w:t>Ruly Pebri Andini Putri</w:t>
      </w:r>
      <w:r w:rsidR="00000000">
        <w:rPr>
          <w:b/>
          <w:bCs/>
        </w:rPr>
        <w:t>¹</w:t>
      </w:r>
    </w:p>
    <w:p w14:paraId="5B1256D1" w14:textId="2FF8B086" w:rsidR="003A551B" w:rsidRDefault="00000000" w:rsidP="00EA18CA">
      <w:pPr>
        <w:jc w:val="center"/>
      </w:pPr>
      <w:r>
        <w:rPr>
          <w:i/>
          <w:iCs/>
          <w:sz w:val="22"/>
          <w:szCs w:val="22"/>
        </w:rPr>
        <w:t>¹</w:t>
      </w:r>
      <w:r w:rsidR="00EA18CA" w:rsidRPr="00EA18CA">
        <w:rPr>
          <w:i/>
          <w:iCs/>
          <w:sz w:val="22"/>
          <w:szCs w:val="22"/>
        </w:rPr>
        <w:t>Universitas Islam Negeri Madura</w:t>
      </w:r>
    </w:p>
    <w:p w14:paraId="40135800" w14:textId="4BCA83C8" w:rsidR="003A551B" w:rsidRDefault="00000000" w:rsidP="00EA18CA">
      <w:pPr>
        <w:spacing w:after="280"/>
        <w:jc w:val="center"/>
      </w:pPr>
      <w:r>
        <w:rPr>
          <w:sz w:val="22"/>
          <w:szCs w:val="22"/>
        </w:rPr>
        <w:t xml:space="preserve">Email: </w:t>
      </w:r>
      <w:hyperlink r:id="rId8" w:history="1">
        <w:r w:rsidR="00EA18CA" w:rsidRPr="00EA18CA">
          <w:rPr>
            <w:rStyle w:val="Hyperlink"/>
            <w:i/>
          </w:rPr>
          <w:t>rulypap523@gmail.com</w:t>
        </w:r>
      </w:hyperlink>
    </w:p>
    <w:p w14:paraId="4123D882" w14:textId="77777777" w:rsidR="003A551B" w:rsidRDefault="00000000" w:rsidP="00D363CF">
      <w:pPr>
        <w:spacing w:after="100"/>
        <w:jc w:val="center"/>
      </w:pPr>
      <w:r>
        <w:rPr>
          <w:b/>
          <w:bCs/>
        </w:rPr>
        <w:t>ABSTRACT</w:t>
      </w:r>
    </w:p>
    <w:p w14:paraId="1735CB45" w14:textId="254E4A02" w:rsidR="003A551B" w:rsidRDefault="00EA18CA" w:rsidP="00EA18CA">
      <w:pPr>
        <w:spacing w:after="200"/>
        <w:jc w:val="both"/>
      </w:pPr>
      <w:r w:rsidRPr="00EA18CA">
        <w:t>In the study of Qur'anic interpretation, Qawa'id Tafsir plays an important role in understanding and determining the meaning of verses. One of the linguistic rules is the rule of al-wasfu (nature) which functions as a limiter of meaning (mukhasshisah) or can also play a merely explanatory role (</w:t>
      </w:r>
      <w:r w:rsidRPr="00EA18CA">
        <w:rPr>
          <w:i/>
          <w:iCs/>
        </w:rPr>
        <w:t>muwadhdhihah</w:t>
      </w:r>
      <w:r w:rsidRPr="00EA18CA">
        <w:t>). This variation in function produces various interpretations, as seen in QS. Al-Baqarah verse 2 in the phrase "</w:t>
      </w:r>
      <w:r w:rsidRPr="00EA18CA">
        <w:rPr>
          <w:i/>
          <w:iCs/>
        </w:rPr>
        <w:t>hudan lil-muttaqin</w:t>
      </w:r>
      <w:r w:rsidRPr="00EA18CA">
        <w:t>" which will be the focus of this study. This study aims to analyze the application of the rule of al-wasfu through a comparison of Al-Zamakhshari and Wahbah Az-Zuhaili. The method used in this study is qualitative with library research and comparative descriptive style. The results indicate that that Al-Zamakhshari understands the rule of al-wasfu as a limiter (mukhasshisah) resulting in an exclusive meaning, while Wahbah Az-Zuhaili understands it as an explanatory (</w:t>
      </w:r>
      <w:r w:rsidRPr="00EA18CA">
        <w:rPr>
          <w:i/>
          <w:iCs/>
        </w:rPr>
        <w:t>muwadhdhihah</w:t>
      </w:r>
      <w:r w:rsidRPr="00EA18CA">
        <w:t>) so that the meaning of the verse is more inclusive. This difference in application confirms that changes in the function of the al-wasfu rule are greatly influenced by the interpreter's approach in his interpretation and are part of the dynamics of interpreting the Qur'an</w:t>
      </w:r>
      <w:r w:rsidR="00000000">
        <w:t>.</w:t>
      </w:r>
    </w:p>
    <w:p w14:paraId="05C3D9F5" w14:textId="6B845597" w:rsidR="003A551B" w:rsidRDefault="00000000" w:rsidP="00EA18CA">
      <w:pPr>
        <w:spacing w:after="280"/>
        <w:jc w:val="both"/>
      </w:pPr>
      <w:r>
        <w:rPr>
          <w:b/>
          <w:bCs/>
        </w:rPr>
        <w:t xml:space="preserve">Keywords: </w:t>
      </w:r>
      <w:r w:rsidR="00EA18CA" w:rsidRPr="00EA18CA">
        <w:rPr>
          <w:i/>
          <w:iCs/>
        </w:rPr>
        <w:t>al-wasfu, Qawa’id Tafsir, Al-Zamakhshari, Wahbah Az-Zuhaili</w:t>
      </w:r>
    </w:p>
    <w:p w14:paraId="458D2ED8" w14:textId="77777777" w:rsidR="003A551B" w:rsidRDefault="00000000" w:rsidP="00D363CF">
      <w:pPr>
        <w:spacing w:after="100"/>
        <w:jc w:val="center"/>
      </w:pPr>
      <w:r>
        <w:rPr>
          <w:b/>
          <w:bCs/>
        </w:rPr>
        <w:t>ABSTRAK</w:t>
      </w:r>
    </w:p>
    <w:p w14:paraId="544B0011" w14:textId="10CCFC51" w:rsidR="003A551B" w:rsidRDefault="00EA18CA" w:rsidP="00EA18CA">
      <w:pPr>
        <w:spacing w:after="200"/>
        <w:jc w:val="both"/>
      </w:pPr>
      <w:r w:rsidRPr="00EA18CA">
        <w:t>Dalam kajian tafsir Al-Qur’an, Qawa’id Tafsir memiliki peran penting dalam memahami dan menentukan makna ayat. Salah satu kaidah kebahasaan adalah kaidah al-wasfu (sifat) yang berfungsi sebagai pembatas makna (mukhasshisah) atau bisa juga berperan sekedar penjelas (</w:t>
      </w:r>
      <w:r w:rsidRPr="00EA18CA">
        <w:rPr>
          <w:i/>
          <w:iCs/>
        </w:rPr>
        <w:t>muwadhdhihah</w:t>
      </w:r>
      <w:r w:rsidRPr="00EA18CA">
        <w:t xml:space="preserve">). Variasi fungsi ini menghasilkan berbagai macam interpretasi, sebagaimana terlihat dalam QS. Al-Baqarah ayat 2 pada lafadz “ </w:t>
      </w:r>
      <w:r w:rsidRPr="00EA18CA">
        <w:rPr>
          <w:i/>
          <w:iCs/>
        </w:rPr>
        <w:t xml:space="preserve">hudan lil-muttaqin” </w:t>
      </w:r>
      <w:r w:rsidRPr="00EA18CA">
        <w:t>yang akan menjadi fokus penelitian ini</w:t>
      </w:r>
      <w:r w:rsidRPr="00EA18CA">
        <w:rPr>
          <w:i/>
          <w:iCs/>
        </w:rPr>
        <w:t>.</w:t>
      </w:r>
      <w:r w:rsidRPr="00EA18CA">
        <w:t xml:space="preserve"> Penelitian ini bertujuan untuk menganalisis penerapan kaidah al-wasfu melalui perbandingan Al-Zamakhshari dan Wahbah Az-Zuhaili. Metode yang digunakan dalam penelitian ini adalah kualitatif dengan studi kepustakaan (</w:t>
      </w:r>
      <w:r w:rsidRPr="00EA18CA">
        <w:rPr>
          <w:i/>
          <w:iCs/>
        </w:rPr>
        <w:t>library research)</w:t>
      </w:r>
      <w:r w:rsidRPr="00EA18CA">
        <w:t xml:space="preserve"> dan corak deskriptif komparatif. Hasil penelitian menunjukkan bahwa Al-Zamakhshari memahami kaidah al-wasfu sebagai pembatas (</w:t>
      </w:r>
      <w:r w:rsidRPr="00EA18CA">
        <w:rPr>
          <w:i/>
          <w:iCs/>
        </w:rPr>
        <w:t>mukhasshisah)</w:t>
      </w:r>
      <w:r w:rsidRPr="00EA18CA">
        <w:t xml:space="preserve"> sehingga menghasilkan makna eksklusif, sedangkan Wahbah Az-Zuhaili memahami sebagai penjelas (</w:t>
      </w:r>
      <w:r w:rsidRPr="00EA18CA">
        <w:rPr>
          <w:i/>
          <w:iCs/>
        </w:rPr>
        <w:t>muwadhdhihah</w:t>
      </w:r>
      <w:r w:rsidRPr="00EA18CA">
        <w:t>) sehingga makna ayat bersifat lebih inklusif. Perbedaan penerapan ini menegaskan bahwa perubahan fungsi kaidah al-wasfu sangat dipengaruhi oleh pendekatan mufassir dalam tafsirnya dan menjadi bagian dari dinamika penafsiran Al-Qur’an</w:t>
      </w:r>
      <w:r w:rsidR="00000000">
        <w:t>.</w:t>
      </w:r>
    </w:p>
    <w:p w14:paraId="5C4E5FB8" w14:textId="28374994" w:rsidR="003A551B" w:rsidRDefault="00000000" w:rsidP="00EA18CA">
      <w:pPr>
        <w:spacing w:after="280"/>
        <w:jc w:val="both"/>
      </w:pPr>
      <w:r>
        <w:rPr>
          <w:b/>
          <w:bCs/>
        </w:rPr>
        <w:t xml:space="preserve">Kata Kunci: </w:t>
      </w:r>
      <w:r w:rsidR="00EA18CA" w:rsidRPr="00EA18CA">
        <w:rPr>
          <w:i/>
          <w:iCs/>
        </w:rPr>
        <w:t>al-wasfu, Qawa’id Tafsir, Al-Zamakhshari, Wahbah Az-Zuhaili</w:t>
      </w:r>
    </w:p>
    <w:p w14:paraId="45BB03FD" w14:textId="3AEA3E97" w:rsidR="003A551B" w:rsidRDefault="00000000">
      <w:pPr>
        <w:spacing w:before="300" w:after="150"/>
      </w:pPr>
      <w:r>
        <w:rPr>
          <w:b/>
          <w:bCs/>
        </w:rPr>
        <w:t>PENDAHULUAN</w:t>
      </w:r>
    </w:p>
    <w:p w14:paraId="2CB1B003" w14:textId="77777777" w:rsidR="00EA18CA" w:rsidRPr="00EA18CA" w:rsidRDefault="00EA18CA" w:rsidP="00EA18CA">
      <w:pPr>
        <w:spacing w:after="280"/>
        <w:jc w:val="both"/>
        <w:rPr>
          <w:lang w:val="en-GB"/>
        </w:rPr>
      </w:pPr>
      <w:r w:rsidRPr="00EA18CA">
        <w:rPr>
          <w:lang w:val="en-GB"/>
        </w:rPr>
        <w:t xml:space="preserve">Mempelajari ilmu Al-qur’an pada dasarnya memerlukan perangkat metodologis yang memadai agar makna yang terkandung di dalamnya dapat dipahami secara tepat. Maka dari itu dibutuhkannya mufassir untuk mengungkap makna yang terkandung dan telah tertuang didalam Al-Qur’an, sehingga kita dapat memahami isi dari Al-Qur’an tersebut secara tepat dan </w:t>
      </w:r>
      <w:r w:rsidRPr="00EA18CA">
        <w:rPr>
          <w:lang w:val="en-GB"/>
        </w:rPr>
        <w:lastRenderedPageBreak/>
        <w:t>kontekstual. Namun, seorang mufassir yang baik memiliki berbagai persyaratan yang harus dikuasainya, baik dari segi akademik, bahasa dan persyaratan-persyaratan lainnya.</w:t>
      </w:r>
      <w:r w:rsidRPr="00EA18CA">
        <w:rPr>
          <w:vertAlign w:val="superscript"/>
          <w:lang w:val="en-GB"/>
        </w:rPr>
        <w:footnoteReference w:id="1"/>
      </w:r>
    </w:p>
    <w:p w14:paraId="37BA1D9C" w14:textId="77777777" w:rsidR="00EA18CA" w:rsidRPr="00EA18CA" w:rsidRDefault="00EA18CA" w:rsidP="00EA18CA">
      <w:pPr>
        <w:spacing w:after="280"/>
        <w:jc w:val="both"/>
        <w:rPr>
          <w:lang w:val="en-GB"/>
        </w:rPr>
      </w:pPr>
      <w:r w:rsidRPr="00EA18CA">
        <w:rPr>
          <w:lang w:val="en-GB"/>
        </w:rPr>
        <w:t>Dalam proses penafsiran tersebut, para ulama telah bersepakat merumuskan berbagai kaidah yang dikenal sebagai Qawa’id Tafsir agar bisa membantu memahami makna ayat secara lebih sistematis.</w:t>
      </w:r>
      <w:r w:rsidRPr="00EA18CA">
        <w:rPr>
          <w:vertAlign w:val="superscript"/>
          <w:lang w:val="en-GB"/>
        </w:rPr>
        <w:footnoteReference w:id="2"/>
      </w:r>
      <w:r w:rsidRPr="00EA18CA">
        <w:rPr>
          <w:lang w:val="en-GB"/>
        </w:rPr>
        <w:t xml:space="preserve"> Adapun salah satu kaidah yang penting adalah kaidah </w:t>
      </w:r>
      <w:r w:rsidRPr="00EA18CA">
        <w:rPr>
          <w:i/>
          <w:iCs/>
          <w:lang w:val="en-GB"/>
        </w:rPr>
        <w:t>al-wasfu</w:t>
      </w:r>
      <w:r w:rsidRPr="00EA18CA">
        <w:rPr>
          <w:lang w:val="en-GB"/>
        </w:rPr>
        <w:t xml:space="preserve"> (sifat). </w:t>
      </w:r>
      <w:r w:rsidRPr="00EA18CA">
        <w:rPr>
          <w:i/>
          <w:iCs/>
          <w:lang w:val="en-GB"/>
        </w:rPr>
        <w:t>Al-Wasfu</w:t>
      </w:r>
      <w:r w:rsidRPr="00EA18CA">
        <w:rPr>
          <w:lang w:val="en-GB"/>
        </w:rPr>
        <w:t xml:space="preserve"> (sifat) merupakan unsur kebahasaan dalam bahasa Arab yang berfungsi memberikan keterangan tambahan terhadap suatu lafadz, baik sebagai pembatasan makna (</w:t>
      </w:r>
      <w:r w:rsidRPr="00EA18CA">
        <w:rPr>
          <w:i/>
          <w:iCs/>
          <w:lang w:val="en-GB"/>
        </w:rPr>
        <w:t>taqyid</w:t>
      </w:r>
      <w:r w:rsidRPr="00EA18CA">
        <w:rPr>
          <w:lang w:val="en-GB"/>
        </w:rPr>
        <w:t>) atau bisa juga berperan sekedar penjelas (</w:t>
      </w:r>
      <w:r w:rsidRPr="00EA18CA">
        <w:rPr>
          <w:i/>
          <w:iCs/>
          <w:lang w:val="en-GB"/>
        </w:rPr>
        <w:t>tawdih</w:t>
      </w:r>
      <w:r w:rsidRPr="00EA18CA">
        <w:rPr>
          <w:lang w:val="en-GB"/>
        </w:rPr>
        <w:t>).</w:t>
      </w:r>
      <w:r w:rsidRPr="00EA18CA">
        <w:rPr>
          <w:vertAlign w:val="superscript"/>
          <w:lang w:val="en-GB"/>
        </w:rPr>
        <w:footnoteReference w:id="3"/>
      </w:r>
      <w:r w:rsidRPr="00EA18CA">
        <w:rPr>
          <w:lang w:val="en-GB"/>
        </w:rPr>
        <w:t xml:space="preserve"> Perbedaan dalam memahami fungsi inilah dapat berimplikasi pada perbedaan interpretasi ayat. </w:t>
      </w:r>
    </w:p>
    <w:p w14:paraId="7A0EBE30" w14:textId="77777777" w:rsidR="00EA18CA" w:rsidRPr="00EA18CA" w:rsidRDefault="00EA18CA" w:rsidP="00EA18CA">
      <w:pPr>
        <w:spacing w:after="280"/>
        <w:jc w:val="both"/>
        <w:rPr>
          <w:lang w:val="en-GB"/>
        </w:rPr>
      </w:pPr>
      <w:r w:rsidRPr="00EA18CA">
        <w:rPr>
          <w:lang w:val="en-GB"/>
        </w:rPr>
        <w:t>Dalam disiplin nahwu, al-waṣf direalisasikan melalui na'at (</w:t>
      </w:r>
      <w:r w:rsidRPr="00EA18CA">
        <w:rPr>
          <w:rtl/>
        </w:rPr>
        <w:t>النعت</w:t>
      </w:r>
      <w:r w:rsidRPr="00EA18CA">
        <w:rPr>
          <w:lang w:val="en-GB"/>
        </w:rPr>
        <w:t>) atau al-ism al-waṣfī, yaitu isim yang mengikuti maushūf dalam i'rab, jenis, jumlah, dan ketentuan ma'rifah maupun nakirah. Oleh karena itu, al-waṣf bukan sekadar unsur deskriptif, melainkan memiliki fungsi semantik yang dapat memperjelas, membatasi, memuji ataupun mencela sesuai konteks kalimat. Dalam kajian Qawā'id al-Tafsīr, fungsi inilah yang kemudian menjadi dasar dalam menentukan apakah suatu sifat dipahami sebagai mukhashshiṣah (pembatas) atau muwaḍḍiḥah (penjelas).</w:t>
      </w:r>
      <w:r w:rsidRPr="00EA18CA">
        <w:rPr>
          <w:vertAlign w:val="superscript"/>
          <w:lang w:val="en-GB"/>
        </w:rPr>
        <w:footnoteReference w:id="4"/>
      </w:r>
    </w:p>
    <w:p w14:paraId="22A33372" w14:textId="77777777" w:rsidR="00EA18CA" w:rsidRPr="00EA18CA" w:rsidRDefault="00EA18CA" w:rsidP="00EA18CA">
      <w:pPr>
        <w:spacing w:after="280"/>
        <w:jc w:val="both"/>
        <w:rPr>
          <w:lang w:val="en-GB"/>
        </w:rPr>
      </w:pPr>
      <w:r w:rsidRPr="00EA18CA">
        <w:rPr>
          <w:lang w:val="en-GB"/>
        </w:rPr>
        <w:t>Interpretasi yang berbeda dapat muncul dari berbagai perspektif tentang bagaimana sifat ini berfungsi. Salah satu ayat yang menunjukkan signifikansi dari kaidah ini adalah   QS. Al-Baqarah ayat 2, khususnya lafadz "</w:t>
      </w:r>
      <w:r w:rsidRPr="00EA18CA">
        <w:rPr>
          <w:i/>
          <w:iCs/>
          <w:lang w:val="en-GB"/>
        </w:rPr>
        <w:t>hudan lil-muttaqin</w:t>
      </w:r>
      <w:r w:rsidRPr="00EA18CA">
        <w:rPr>
          <w:lang w:val="en-GB"/>
        </w:rPr>
        <w:t>," yang mengandung sifat (</w:t>
      </w:r>
      <w:r w:rsidRPr="00EA18CA">
        <w:rPr>
          <w:i/>
          <w:iCs/>
          <w:lang w:val="en-GB"/>
        </w:rPr>
        <w:t>waṣf</w:t>
      </w:r>
      <w:r w:rsidRPr="00EA18CA">
        <w:rPr>
          <w:lang w:val="en-GB"/>
        </w:rPr>
        <w:t xml:space="preserve">) bagi subjek penerima petunjuk. Dalam hal ini para mufassir memiliki pendekatan yang berbeda. Seperti dua tokoh yang peneliti pilih dalam artikel ini ialah Abu Al-Qasim Mahmud Ibn Umar Al-Zamakhshari yang mana beliau sangat cenderung memahami </w:t>
      </w:r>
      <w:r w:rsidRPr="00EA18CA">
        <w:rPr>
          <w:i/>
          <w:iCs/>
          <w:lang w:val="en-GB"/>
        </w:rPr>
        <w:t>al-wasfu</w:t>
      </w:r>
      <w:r w:rsidRPr="00EA18CA">
        <w:rPr>
          <w:lang w:val="en-GB"/>
        </w:rPr>
        <w:t xml:space="preserve"> dari aspek linguistik,</w:t>
      </w:r>
      <w:r w:rsidRPr="00EA18CA">
        <w:rPr>
          <w:vertAlign w:val="superscript"/>
          <w:lang w:val="en-GB"/>
        </w:rPr>
        <w:footnoteReference w:id="5"/>
      </w:r>
      <w:r w:rsidRPr="00EA18CA">
        <w:rPr>
          <w:lang w:val="en-GB"/>
        </w:rPr>
        <w:t xml:space="preserve"> sehingga </w:t>
      </w:r>
      <w:r w:rsidRPr="00EA18CA">
        <w:rPr>
          <w:i/>
          <w:iCs/>
          <w:lang w:val="en-GB"/>
        </w:rPr>
        <w:t>al-wasfu</w:t>
      </w:r>
      <w:r w:rsidRPr="00EA18CA">
        <w:rPr>
          <w:lang w:val="en-GB"/>
        </w:rPr>
        <w:t xml:space="preserve"> dapat dipahami sebagai pengkhususan atau pembatasan makna (</w:t>
      </w:r>
      <w:r w:rsidRPr="00EA18CA">
        <w:rPr>
          <w:i/>
          <w:iCs/>
          <w:lang w:val="en-GB"/>
        </w:rPr>
        <w:t>mukhasshisah</w:t>
      </w:r>
      <w:r w:rsidRPr="00EA18CA">
        <w:rPr>
          <w:lang w:val="en-GB"/>
        </w:rPr>
        <w:t>).</w:t>
      </w:r>
    </w:p>
    <w:p w14:paraId="69F96791" w14:textId="77777777" w:rsidR="00EA18CA" w:rsidRPr="00EA18CA" w:rsidRDefault="00EA18CA" w:rsidP="00EA18CA">
      <w:pPr>
        <w:spacing w:after="280"/>
        <w:jc w:val="both"/>
        <w:rPr>
          <w:lang w:val="en-GB"/>
        </w:rPr>
      </w:pPr>
      <w:r w:rsidRPr="00EA18CA">
        <w:rPr>
          <w:lang w:val="en-GB"/>
        </w:rPr>
        <w:t xml:space="preserve"> </w:t>
      </w:r>
    </w:p>
    <w:p w14:paraId="200706A3" w14:textId="77777777" w:rsidR="00EA18CA" w:rsidRPr="00EA18CA" w:rsidRDefault="00EA18CA" w:rsidP="00EA18CA">
      <w:pPr>
        <w:spacing w:after="280"/>
        <w:jc w:val="both"/>
        <w:rPr>
          <w:lang w:val="en-GB"/>
        </w:rPr>
      </w:pPr>
      <w:r w:rsidRPr="00EA18CA">
        <w:rPr>
          <w:lang w:val="en-GB"/>
        </w:rPr>
        <w:t xml:space="preserve">Sedangkan tokoh lainnya ialah Wahbah Ibn Mustafa Az-Zuhaili memiliki pemahaman dengan aspek yang berbeda. Beliau melihatnya dalam kerangka yang lebih kontekstual, sehingga </w:t>
      </w:r>
      <w:r w:rsidRPr="00EA18CA">
        <w:rPr>
          <w:i/>
          <w:iCs/>
          <w:lang w:val="en-GB"/>
        </w:rPr>
        <w:t>al-wasfu</w:t>
      </w:r>
      <w:r w:rsidRPr="00EA18CA">
        <w:rPr>
          <w:lang w:val="en-GB"/>
        </w:rPr>
        <w:t xml:space="preserve">  tidak selalu bermakna pembatas. Akan tetapi, lebih menunjukkan pihak yang paling dapat mengambil manfaat dari petunjuk Al-Qur’an.</w:t>
      </w:r>
      <w:r w:rsidRPr="00EA18CA">
        <w:rPr>
          <w:vertAlign w:val="superscript"/>
          <w:lang w:val="en-GB"/>
        </w:rPr>
        <w:footnoteReference w:id="6"/>
      </w:r>
    </w:p>
    <w:p w14:paraId="13AA08A6" w14:textId="2298D368" w:rsidR="003A551B" w:rsidRDefault="00EA18CA" w:rsidP="00EA18CA">
      <w:pPr>
        <w:spacing w:after="280"/>
        <w:jc w:val="both"/>
      </w:pPr>
      <w:r w:rsidRPr="00EA18CA">
        <w:rPr>
          <w:lang w:val="en-GB"/>
        </w:rPr>
        <w:t xml:space="preserve">Perbedaan aspek ini menunjukkan adanya celah maupun problematika dalam penerapan kaidah </w:t>
      </w:r>
      <w:r w:rsidRPr="00EA18CA">
        <w:rPr>
          <w:i/>
          <w:iCs/>
          <w:lang w:val="en-GB"/>
        </w:rPr>
        <w:t>al-wasfu</w:t>
      </w:r>
      <w:r w:rsidRPr="00EA18CA">
        <w:rPr>
          <w:lang w:val="en-GB"/>
        </w:rPr>
        <w:t xml:space="preserve"> yang berimplikasi pada keragaman interpretasi. Oleh karena itu, pentingnya untuk penulis meneliti prinsip </w:t>
      </w:r>
      <w:r w:rsidRPr="00EA18CA">
        <w:rPr>
          <w:i/>
          <w:iCs/>
          <w:lang w:val="en-GB"/>
        </w:rPr>
        <w:t>al-wasfu</w:t>
      </w:r>
      <w:r w:rsidRPr="00EA18CA">
        <w:rPr>
          <w:lang w:val="en-GB"/>
        </w:rPr>
        <w:t xml:space="preserve"> dalam surah Al-Baqarah ayat 2 dengan membandingkan pandangan kedua mufassir tersebut. Selain itu, ayat ini sangat representatif untuk meneliti penggunaan prinsip </w:t>
      </w:r>
      <w:r w:rsidRPr="00EA18CA">
        <w:rPr>
          <w:i/>
          <w:iCs/>
          <w:lang w:val="en-GB"/>
        </w:rPr>
        <w:t>al-wasfu</w:t>
      </w:r>
      <w:r w:rsidRPr="00EA18CA">
        <w:rPr>
          <w:lang w:val="en-GB"/>
        </w:rPr>
        <w:t xml:space="preserve"> dalam Qawa’id Tafsir karena menunjukkan perbedaan pendekatan yang jelas dalam memengaruhi konstruksi makna dalam tafsir Al-Qur’an.</w:t>
      </w:r>
      <w:r w:rsidRPr="00EA18CA">
        <w:rPr>
          <w:vertAlign w:val="superscript"/>
          <w:lang w:val="en-GB"/>
        </w:rPr>
        <w:footnoteReference w:id="7"/>
      </w:r>
      <w:r w:rsidRPr="00EA18CA">
        <w:t xml:space="preserve"> </w:t>
      </w:r>
    </w:p>
    <w:p w14:paraId="7D1A88F7" w14:textId="35E81D6D" w:rsidR="003A551B" w:rsidRDefault="00000000">
      <w:pPr>
        <w:spacing w:before="300" w:after="150"/>
      </w:pPr>
      <w:r>
        <w:rPr>
          <w:b/>
          <w:bCs/>
        </w:rPr>
        <w:t>METODE PENELITIAN</w:t>
      </w:r>
    </w:p>
    <w:p w14:paraId="01B5B317" w14:textId="77777777" w:rsidR="00EA18CA" w:rsidRPr="00EA18CA" w:rsidRDefault="00EA18CA" w:rsidP="00EA18CA">
      <w:pPr>
        <w:spacing w:after="280"/>
        <w:jc w:val="both"/>
        <w:rPr>
          <w:lang w:val="en-GB"/>
        </w:rPr>
      </w:pPr>
      <w:r w:rsidRPr="00EA18CA">
        <w:rPr>
          <w:lang w:val="en-GB"/>
        </w:rPr>
        <w:t>Penelitian ini mendasarkan diri pada pendekatan kualitatif dengan melalui metode riset kepustakaan (</w:t>
      </w:r>
      <w:r w:rsidRPr="00EA18CA">
        <w:rPr>
          <w:i/>
          <w:iCs/>
          <w:lang w:val="en-GB"/>
        </w:rPr>
        <w:t>library research</w:t>
      </w:r>
      <w:r w:rsidRPr="00EA18CA">
        <w:rPr>
          <w:lang w:val="en-GB"/>
        </w:rPr>
        <w:t>).</w:t>
      </w:r>
      <w:r w:rsidRPr="00EA18CA">
        <w:rPr>
          <w:vertAlign w:val="superscript"/>
          <w:lang w:val="en-GB"/>
        </w:rPr>
        <w:footnoteReference w:id="8"/>
      </w:r>
      <w:r w:rsidRPr="00EA18CA">
        <w:rPr>
          <w:lang w:val="en-GB"/>
        </w:rPr>
        <w:t xml:space="preserve"> Pemilihan pendekatan kualitatif ini didorong oleh kebutuhan untuk memahami kaidah </w:t>
      </w:r>
      <w:r w:rsidRPr="00EA18CA">
        <w:rPr>
          <w:i/>
          <w:iCs/>
          <w:lang w:val="en-GB"/>
        </w:rPr>
        <w:t>al-wasfu</w:t>
      </w:r>
      <w:r w:rsidRPr="00EA18CA">
        <w:rPr>
          <w:lang w:val="en-GB"/>
        </w:rPr>
        <w:t xml:space="preserve"> yang berimplikasi pada beragamnya interpretasi. </w:t>
      </w:r>
    </w:p>
    <w:p w14:paraId="32A41767" w14:textId="77777777" w:rsidR="00EA18CA" w:rsidRPr="00EA18CA" w:rsidRDefault="00EA18CA" w:rsidP="00EA18CA">
      <w:pPr>
        <w:spacing w:after="280"/>
        <w:jc w:val="both"/>
        <w:rPr>
          <w:lang w:val="en-GB"/>
        </w:rPr>
      </w:pPr>
      <w:r w:rsidRPr="00EA18CA">
        <w:rPr>
          <w:lang w:val="en-GB"/>
        </w:rPr>
        <w:t>Sumber data dalam penelitian ini dibagi menjadi dua, yaitu sumber primer dan sekunder. Sumber primer dalam penelitian ini adalah kitab Qawā’id al-Tafsĭr karya Khalid bin Utsmān as-Sabt, kitab Tafsir Al-Munir karya Wahbah Az-Zuhaili dan adapun pemikiran Al-Zamakhshari dalam Al-Kashshaf digunakan melalui rujukan sekunder yang mengutip dn mengkaji tafsir tersebut. Sumber sekunder data penelitian diperoleh dari berbagai sumber literatur yang relevan, baik berupa kitab tafsir yang diakses melalui tafsir digital, buku, maupun jurnal ilmiah yang berkaitan dengan kaidah al-wasf dalam Qawaid tafsir.</w:t>
      </w:r>
    </w:p>
    <w:p w14:paraId="2FA331D0" w14:textId="304FB828" w:rsidR="003A551B" w:rsidRDefault="00EA18CA" w:rsidP="00EA18CA">
      <w:pPr>
        <w:spacing w:after="280"/>
        <w:jc w:val="both"/>
      </w:pPr>
      <w:r w:rsidRPr="00EA18CA">
        <w:rPr>
          <w:lang w:val="en-GB"/>
        </w:rPr>
        <w:t>Pendekatan yang digunakan adalah bercorak deskriptif komparatif yang dioperasikan dengan  mendeskripsikan konsep kaidah al-wasf, lalu membandingkan penerapan penafsiran Al-Zamakhshari dan Wahbah Az-Zuhaili terhadap QS. Al-Baqarah ayat 2, khususnya pada lafadz “</w:t>
      </w:r>
      <w:r w:rsidRPr="00EA18CA">
        <w:rPr>
          <w:i/>
          <w:iCs/>
          <w:lang w:val="en-GB"/>
        </w:rPr>
        <w:t>hudan lil muttaqiin”.</w:t>
      </w:r>
      <w:r w:rsidRPr="00EA18CA">
        <w:rPr>
          <w:i/>
          <w:iCs/>
          <w:vertAlign w:val="superscript"/>
          <w:lang w:val="en-GB"/>
        </w:rPr>
        <w:footnoteReference w:id="9"/>
      </w:r>
      <w:r w:rsidRPr="00EA18CA">
        <w:t xml:space="preserve"> </w:t>
      </w:r>
    </w:p>
    <w:p w14:paraId="22BACA03" w14:textId="54CEBDBD" w:rsidR="003A551B" w:rsidRDefault="00000000">
      <w:pPr>
        <w:spacing w:before="300" w:after="150"/>
      </w:pPr>
      <w:r>
        <w:rPr>
          <w:b/>
          <w:bCs/>
        </w:rPr>
        <w:t>HASIL DAN PEMBAHASAN</w:t>
      </w:r>
    </w:p>
    <w:p w14:paraId="5D79BA6D" w14:textId="77777777" w:rsidR="00EA18CA" w:rsidRPr="00EA18CA" w:rsidRDefault="00EA18CA" w:rsidP="00EA18CA">
      <w:pPr>
        <w:spacing w:after="280"/>
        <w:jc w:val="both"/>
        <w:rPr>
          <w:bCs/>
          <w:lang w:val="en-GB"/>
        </w:rPr>
      </w:pPr>
      <w:r w:rsidRPr="00EA18CA">
        <w:rPr>
          <w:bCs/>
          <w:lang w:val="en-GB"/>
        </w:rPr>
        <w:t xml:space="preserve">Secara terminologis, </w:t>
      </w:r>
      <w:r w:rsidRPr="00EA18CA">
        <w:rPr>
          <w:bCs/>
          <w:i/>
          <w:iCs/>
          <w:lang w:val="en-GB"/>
        </w:rPr>
        <w:t>al-waṣf</w:t>
      </w:r>
      <w:r w:rsidRPr="00EA18CA">
        <w:rPr>
          <w:bCs/>
          <w:lang w:val="en-GB"/>
        </w:rPr>
        <w:t xml:space="preserve"> adalah lafaz yang menunjukkan suatu sifat yang mengikuti maushūf untuk menjelaskan keadaan, membatasi cakupan makna, memberikan pujian, celaan ataupun tujuan balaghah lainnya.</w:t>
      </w:r>
      <w:r w:rsidRPr="00EA18CA">
        <w:rPr>
          <w:bCs/>
          <w:vertAlign w:val="superscript"/>
          <w:lang w:val="en-GB"/>
        </w:rPr>
        <w:footnoteReference w:id="10"/>
      </w:r>
      <w:r w:rsidRPr="00EA18CA">
        <w:rPr>
          <w:bCs/>
          <w:lang w:val="en-GB"/>
        </w:rPr>
        <w:t xml:space="preserve"> Dalam struktur bahasa Arab, </w:t>
      </w:r>
      <w:r w:rsidRPr="00EA18CA">
        <w:rPr>
          <w:bCs/>
          <w:i/>
          <w:iCs/>
          <w:lang w:val="en-GB"/>
        </w:rPr>
        <w:t>al-waṣf</w:t>
      </w:r>
      <w:r w:rsidRPr="00EA18CA">
        <w:rPr>
          <w:bCs/>
          <w:lang w:val="en-GB"/>
        </w:rPr>
        <w:t xml:space="preserve"> termasuk bentuk isim sifat (</w:t>
      </w:r>
      <w:r w:rsidRPr="00EA18CA">
        <w:rPr>
          <w:bCs/>
          <w:i/>
          <w:iCs/>
          <w:lang w:val="en-GB"/>
        </w:rPr>
        <w:t>al-ism al-waṣfī</w:t>
      </w:r>
      <w:r w:rsidRPr="00EA18CA">
        <w:rPr>
          <w:bCs/>
          <w:lang w:val="en-GB"/>
        </w:rPr>
        <w:t>) sehingga kedudukannya selalu mengikuti man'ūt dalam seluruh aspek gramatikal.</w:t>
      </w:r>
      <w:r w:rsidRPr="00EA18CA">
        <w:rPr>
          <w:bCs/>
          <w:vertAlign w:val="superscript"/>
          <w:lang w:val="en-GB"/>
        </w:rPr>
        <w:footnoteReference w:id="11"/>
      </w:r>
      <w:r w:rsidRPr="00EA18CA">
        <w:rPr>
          <w:bCs/>
          <w:lang w:val="en-GB"/>
        </w:rPr>
        <w:t xml:space="preserve"> Oleh karena itu analisis al-waṣf dalam Al-Qur'an tidak dapat dipisahkan dari aspek nahwu dan balaghah sekaligus.</w:t>
      </w:r>
    </w:p>
    <w:p w14:paraId="21F1DB37" w14:textId="77777777" w:rsidR="00EA18CA" w:rsidRPr="00EA18CA" w:rsidRDefault="00EA18CA" w:rsidP="00EA18CA">
      <w:pPr>
        <w:spacing w:after="280"/>
        <w:jc w:val="both"/>
        <w:rPr>
          <w:lang w:val="en-GB"/>
        </w:rPr>
      </w:pPr>
      <w:r w:rsidRPr="00EA18CA">
        <w:rPr>
          <w:bCs/>
          <w:lang w:val="en-GB"/>
        </w:rPr>
        <w:t xml:space="preserve">Dalam kajian </w:t>
      </w:r>
      <w:r w:rsidRPr="00EA18CA">
        <w:rPr>
          <w:bCs/>
          <w:i/>
          <w:iCs/>
          <w:lang w:val="en-GB"/>
        </w:rPr>
        <w:t>Qawā'id al-Tafsīr</w:t>
      </w:r>
      <w:r w:rsidRPr="00EA18CA">
        <w:rPr>
          <w:bCs/>
          <w:lang w:val="en-GB"/>
        </w:rPr>
        <w:t xml:space="preserve">, </w:t>
      </w:r>
      <w:r w:rsidRPr="00EA18CA">
        <w:rPr>
          <w:i/>
          <w:iCs/>
          <w:lang w:val="en-GB"/>
        </w:rPr>
        <w:t>al-waṣf</w:t>
      </w:r>
      <w:r w:rsidRPr="00EA18CA">
        <w:rPr>
          <w:bCs/>
          <w:lang w:val="en-GB"/>
        </w:rPr>
        <w:t xml:space="preserve"> tidak hanya dipahami sebagai pengkhususan atau pembatasan makna (</w:t>
      </w:r>
      <w:r w:rsidRPr="00EA18CA">
        <w:rPr>
          <w:bCs/>
          <w:i/>
          <w:iCs/>
          <w:lang w:val="en-GB"/>
        </w:rPr>
        <w:t>mukhashshiṣah</w:t>
      </w:r>
      <w:r w:rsidRPr="00EA18CA">
        <w:rPr>
          <w:bCs/>
          <w:lang w:val="en-GB"/>
        </w:rPr>
        <w:t xml:space="preserve"> atau </w:t>
      </w:r>
      <w:r w:rsidRPr="00EA18CA">
        <w:rPr>
          <w:bCs/>
          <w:i/>
          <w:iCs/>
          <w:lang w:val="en-GB"/>
        </w:rPr>
        <w:t>taqyīd</w:t>
      </w:r>
      <w:r w:rsidRPr="00EA18CA">
        <w:rPr>
          <w:bCs/>
          <w:lang w:val="en-GB"/>
        </w:rPr>
        <w:t>) dan penjelas makna (</w:t>
      </w:r>
      <w:r w:rsidRPr="00EA18CA">
        <w:rPr>
          <w:bCs/>
          <w:i/>
          <w:iCs/>
          <w:lang w:val="en-GB"/>
        </w:rPr>
        <w:t>muwaḍḍiḥah</w:t>
      </w:r>
      <w:r w:rsidRPr="00EA18CA">
        <w:rPr>
          <w:bCs/>
          <w:lang w:val="en-GB"/>
        </w:rPr>
        <w:t xml:space="preserve"> atau </w:t>
      </w:r>
      <w:r w:rsidRPr="00EA18CA">
        <w:rPr>
          <w:bCs/>
          <w:i/>
          <w:iCs/>
          <w:lang w:val="en-GB"/>
        </w:rPr>
        <w:t>tawḍīḥ</w:t>
      </w:r>
      <w:r w:rsidRPr="00EA18CA">
        <w:rPr>
          <w:bCs/>
          <w:lang w:val="en-GB"/>
        </w:rPr>
        <w:t>), tetapi juga memiliki fungsi lain seperti pujian (</w:t>
      </w:r>
      <w:r w:rsidRPr="00EA18CA">
        <w:rPr>
          <w:bCs/>
          <w:i/>
          <w:iCs/>
          <w:lang w:val="en-GB"/>
        </w:rPr>
        <w:t>madḥ</w:t>
      </w:r>
      <w:r w:rsidRPr="00EA18CA">
        <w:rPr>
          <w:bCs/>
          <w:lang w:val="en-GB"/>
        </w:rPr>
        <w:t>), celaan (</w:t>
      </w:r>
      <w:r w:rsidRPr="00EA18CA">
        <w:rPr>
          <w:bCs/>
          <w:i/>
          <w:iCs/>
          <w:lang w:val="en-GB"/>
        </w:rPr>
        <w:t>dhamm</w:t>
      </w:r>
      <w:r w:rsidRPr="00EA18CA">
        <w:rPr>
          <w:bCs/>
          <w:lang w:val="en-GB"/>
        </w:rPr>
        <w:t xml:space="preserve">), penegasan, dan tujuan balaghah lainnya sesuai dengan konteks ayat. Sebagaimana dijelaskan oleh Khalid bin 'Utsmān as-Sabt, fungsi al-waṣf dalam Al-Qur'an harus dipahami berdasarkan </w:t>
      </w:r>
      <w:r w:rsidRPr="00EA18CA">
        <w:rPr>
          <w:bCs/>
          <w:i/>
          <w:iCs/>
          <w:lang w:val="en-GB"/>
        </w:rPr>
        <w:t>siyāq al-kalām</w:t>
      </w:r>
      <w:r w:rsidRPr="00EA18CA">
        <w:rPr>
          <w:bCs/>
          <w:lang w:val="en-GB"/>
        </w:rPr>
        <w:t xml:space="preserve"> (konteks kalimat) sehingga tidak seluruh sifat dimaknai sebagai pembatas.</w:t>
      </w:r>
      <w:r w:rsidRPr="00EA18CA">
        <w:rPr>
          <w:vertAlign w:val="superscript"/>
          <w:lang w:val="en-GB"/>
        </w:rPr>
        <w:footnoteReference w:id="12"/>
      </w:r>
      <w:r w:rsidRPr="00EA18CA">
        <w:rPr>
          <w:lang w:val="en-GB"/>
        </w:rPr>
        <w:t xml:space="preserve"> </w:t>
      </w:r>
      <w:r w:rsidRPr="00EA18CA">
        <w:rPr>
          <w:bCs/>
          <w:lang w:val="en-GB"/>
        </w:rPr>
        <w:t xml:space="preserve"> </w:t>
      </w:r>
      <w:r w:rsidRPr="00EA18CA">
        <w:rPr>
          <w:lang w:val="en-GB"/>
        </w:rPr>
        <w:t xml:space="preserve">Dalam penelitian ini, penulis hanya memfokuskan pembahasan pada dua fungsi al-waṣf, yaitu sebagai </w:t>
      </w:r>
      <w:r w:rsidRPr="00EA18CA">
        <w:rPr>
          <w:i/>
          <w:iCs/>
          <w:lang w:val="en-GB"/>
        </w:rPr>
        <w:t>mukhashshiṣ</w:t>
      </w:r>
      <w:r w:rsidRPr="00EA18CA">
        <w:rPr>
          <w:lang w:val="en-GB"/>
        </w:rPr>
        <w:t xml:space="preserve"> (pembatas) dan </w:t>
      </w:r>
      <w:r w:rsidRPr="00EA18CA">
        <w:rPr>
          <w:i/>
          <w:iCs/>
          <w:lang w:val="en-GB"/>
        </w:rPr>
        <w:t>muwaḍḍiḥ</w:t>
      </w:r>
      <w:r w:rsidRPr="00EA18CA">
        <w:rPr>
          <w:lang w:val="en-GB"/>
        </w:rPr>
        <w:t xml:space="preserve"> (penjelas), karena kedua fungsi tersebut paling relevan untuk menganalisis QS. Al-Baqarah ayat 2, khususnya frasa </w:t>
      </w:r>
      <w:r w:rsidRPr="00EA18CA">
        <w:rPr>
          <w:i/>
          <w:iCs/>
          <w:lang w:val="en-GB"/>
        </w:rPr>
        <w:t>hudan lil-muttaqīn</w:t>
      </w:r>
      <w:r w:rsidRPr="00EA18CA">
        <w:rPr>
          <w:lang w:val="en-GB"/>
        </w:rPr>
        <w:t xml:space="preserve">.. </w:t>
      </w:r>
    </w:p>
    <w:p w14:paraId="56738ADF" w14:textId="77777777" w:rsidR="00EA18CA" w:rsidRPr="00EA18CA" w:rsidRDefault="00EA18CA" w:rsidP="00EA18CA">
      <w:pPr>
        <w:spacing w:after="280"/>
        <w:jc w:val="both"/>
        <w:rPr>
          <w:lang w:val="en-GB"/>
        </w:rPr>
      </w:pPr>
      <w:r w:rsidRPr="00EA18CA">
        <w:rPr>
          <w:lang w:val="en-GB"/>
        </w:rPr>
        <w:t>Khalid bin 'Utsmān as-Sabt menjelaskan bahwa al-waṣf dalam Al-Qur'an mempunyai beberapa fungsi, di antaranya sebagai taqyīd (pembatas), tawḍīḥ (penjelas), madḥ (pujian), dhamm (celaan), targhīb dan fungsi-fungsi balaghah lainnya. Oleh sebab itu, penentuan fungsi al-waṣf tidak dapat dilakukan secara mutlak, melainkan harus memperhatikan konteks ayat (siyāq) dan tujuan pembicaraan.</w:t>
      </w:r>
      <w:r w:rsidRPr="00EA18CA">
        <w:rPr>
          <w:vertAlign w:val="superscript"/>
          <w:lang w:val="en-GB"/>
        </w:rPr>
        <w:footnoteReference w:id="13"/>
      </w:r>
    </w:p>
    <w:p w14:paraId="29A36833" w14:textId="77777777" w:rsidR="00EA18CA" w:rsidRPr="00EA18CA" w:rsidRDefault="00EA18CA" w:rsidP="00EA18CA">
      <w:pPr>
        <w:spacing w:after="280"/>
        <w:jc w:val="both"/>
        <w:rPr>
          <w:lang w:val="en-GB"/>
        </w:rPr>
      </w:pPr>
      <w:r w:rsidRPr="00EA18CA">
        <w:rPr>
          <w:lang w:val="en-GB"/>
        </w:rPr>
        <w:t>Namun dalam penelitian ini, penulis memfokuskan pada dua fungsi utama, yaitu pengkhususan atau pembatasan (</w:t>
      </w:r>
      <w:r w:rsidRPr="00EA18CA">
        <w:rPr>
          <w:i/>
          <w:iCs/>
          <w:lang w:val="en-GB"/>
        </w:rPr>
        <w:t xml:space="preserve">mukhasshisah </w:t>
      </w:r>
      <w:r w:rsidRPr="00EA18CA">
        <w:rPr>
          <w:lang w:val="en-GB"/>
        </w:rPr>
        <w:t xml:space="preserve">atau </w:t>
      </w:r>
      <w:r w:rsidRPr="00EA18CA">
        <w:rPr>
          <w:i/>
          <w:iCs/>
          <w:lang w:val="en-GB"/>
        </w:rPr>
        <w:t>taqyid)</w:t>
      </w:r>
      <w:r w:rsidRPr="00EA18CA">
        <w:rPr>
          <w:lang w:val="en-GB"/>
        </w:rPr>
        <w:t xml:space="preserve"> dan penjelasan makna (</w:t>
      </w:r>
      <w:r w:rsidRPr="00EA18CA">
        <w:rPr>
          <w:i/>
          <w:iCs/>
          <w:lang w:val="en-GB"/>
        </w:rPr>
        <w:t xml:space="preserve">muwadhdhihah </w:t>
      </w:r>
      <w:r w:rsidRPr="00EA18CA">
        <w:rPr>
          <w:lang w:val="en-GB"/>
        </w:rPr>
        <w:t xml:space="preserve">atau </w:t>
      </w:r>
      <w:r w:rsidRPr="00EA18CA">
        <w:rPr>
          <w:i/>
          <w:iCs/>
          <w:lang w:val="en-GB"/>
        </w:rPr>
        <w:t>tawdhih)</w:t>
      </w:r>
      <w:r w:rsidRPr="00EA18CA">
        <w:rPr>
          <w:lang w:val="en-GB"/>
        </w:rPr>
        <w:t>. Karena keduanya yang paling relevan dalam menganalisis QS. Al-Baqarah ayat 2  sebagai kajian ayat yang dipilih  dalam penelitian ini.</w:t>
      </w:r>
    </w:p>
    <w:p w14:paraId="7CE14889" w14:textId="77777777" w:rsidR="00EA18CA" w:rsidRPr="00EA18CA" w:rsidRDefault="00EA18CA" w:rsidP="00EA18CA">
      <w:pPr>
        <w:spacing w:after="280"/>
        <w:jc w:val="both"/>
        <w:rPr>
          <w:bCs/>
          <w:lang w:val="en-GB"/>
        </w:rPr>
      </w:pPr>
    </w:p>
    <w:p w14:paraId="69A8B211" w14:textId="77777777" w:rsidR="00EA18CA" w:rsidRPr="00EA18CA" w:rsidRDefault="00EA18CA" w:rsidP="00EA18CA">
      <w:pPr>
        <w:spacing w:after="280"/>
        <w:jc w:val="both"/>
        <w:rPr>
          <w:bCs/>
          <w:lang w:val="en-GB"/>
        </w:rPr>
      </w:pPr>
    </w:p>
    <w:p w14:paraId="07C43196" w14:textId="77777777" w:rsidR="00EA18CA" w:rsidRPr="00EA18CA" w:rsidRDefault="00EA18CA" w:rsidP="00EA18CA">
      <w:pPr>
        <w:numPr>
          <w:ilvl w:val="1"/>
          <w:numId w:val="2"/>
        </w:numPr>
        <w:spacing w:after="280"/>
        <w:jc w:val="both"/>
        <w:rPr>
          <w:b/>
          <w:lang w:val="en-GB"/>
        </w:rPr>
      </w:pPr>
      <w:r w:rsidRPr="00EA18CA">
        <w:rPr>
          <w:b/>
          <w:lang w:val="en-GB"/>
        </w:rPr>
        <w:t>Pemaknaan Makna Lafadz “</w:t>
      </w:r>
      <w:r w:rsidRPr="00EA18CA">
        <w:rPr>
          <w:b/>
          <w:i/>
          <w:iCs/>
          <w:lang w:val="en-GB"/>
        </w:rPr>
        <w:t>Hudan Lil-Muttaqin</w:t>
      </w:r>
      <w:r w:rsidRPr="00EA18CA">
        <w:rPr>
          <w:b/>
          <w:lang w:val="en-GB"/>
        </w:rPr>
        <w:t>” dalam QS. Al-Baqarah ayat 2</w:t>
      </w:r>
    </w:p>
    <w:p w14:paraId="0CAF0131" w14:textId="77777777" w:rsidR="00EA18CA" w:rsidRPr="00EA18CA" w:rsidRDefault="00EA18CA" w:rsidP="00EA18CA">
      <w:pPr>
        <w:spacing w:after="280"/>
        <w:jc w:val="both"/>
        <w:rPr>
          <w:i/>
          <w:iCs/>
          <w:lang w:val="en-GB"/>
        </w:rPr>
      </w:pPr>
      <w:r w:rsidRPr="00EA18CA">
        <w:rPr>
          <w:lang w:val="en-GB"/>
        </w:rPr>
        <w:t>Berikut salah satu ayat yang menunjukkan signifikansi dari kaidah ini adalah  QS. Al-Baqarah ayat 2 yang berbunyi:</w:t>
      </w:r>
      <w:r w:rsidRPr="00EA18CA">
        <w:rPr>
          <w:vertAlign w:val="superscript"/>
          <w:lang w:val="en-GB"/>
        </w:rPr>
        <w:footnoteReference w:id="14"/>
      </w:r>
    </w:p>
    <w:p w14:paraId="30CD6308" w14:textId="77777777" w:rsidR="00EA18CA" w:rsidRPr="00EA18CA" w:rsidRDefault="00EA18CA" w:rsidP="00EA18CA">
      <w:pPr>
        <w:spacing w:after="280"/>
        <w:jc w:val="both"/>
        <w:rPr>
          <w:lang w:val="en-GB"/>
        </w:rPr>
      </w:pPr>
      <w:r w:rsidRPr="00EA18CA">
        <w:rPr>
          <w:rtl/>
        </w:rPr>
        <w:t xml:space="preserve">ذٰلِكَ الْكِتٰبُ لَا رَيْبَ ۛ فِيْهِ ۛ </w:t>
      </w:r>
      <w:r w:rsidRPr="00EA18CA">
        <w:rPr>
          <w:u w:val="single"/>
          <w:rtl/>
        </w:rPr>
        <w:t>هُدًى لِّلْمُتَّقِيْنَۙ</w:t>
      </w:r>
      <w:r w:rsidRPr="00EA18CA">
        <w:rPr>
          <w:rtl/>
        </w:rPr>
        <w:t xml:space="preserve"> ٢ </w:t>
      </w:r>
    </w:p>
    <w:p w14:paraId="525D0684" w14:textId="77777777" w:rsidR="00EA18CA" w:rsidRPr="00EA18CA" w:rsidRDefault="00EA18CA" w:rsidP="00EA18CA">
      <w:pPr>
        <w:spacing w:after="280"/>
        <w:jc w:val="both"/>
        <w:rPr>
          <w:i/>
          <w:iCs/>
          <w:lang w:val="en-GB"/>
        </w:rPr>
      </w:pPr>
      <w:r w:rsidRPr="00EA18CA">
        <w:rPr>
          <w:lang w:val="en-GB"/>
        </w:rPr>
        <w:t xml:space="preserve">Artinya: </w:t>
      </w:r>
      <w:r w:rsidRPr="00EA18CA">
        <w:rPr>
          <w:i/>
          <w:iCs/>
          <w:lang w:val="en-GB"/>
        </w:rPr>
        <w:t>“Kitab (Al-Qur’an) ini tidak ada keraguan di dalamnya; (ia merupakan) petunjuk bagi orang-orang yang bertakwa,”</w:t>
      </w:r>
    </w:p>
    <w:p w14:paraId="55CFE346" w14:textId="77777777" w:rsidR="00EA18CA" w:rsidRPr="00EA18CA" w:rsidRDefault="00EA18CA" w:rsidP="00EA18CA">
      <w:pPr>
        <w:spacing w:after="280"/>
        <w:jc w:val="both"/>
        <w:rPr>
          <w:lang w:val="en-GB"/>
        </w:rPr>
      </w:pPr>
      <w:r w:rsidRPr="00EA18CA">
        <w:rPr>
          <w:lang w:val="en-GB"/>
        </w:rPr>
        <w:t>Pada lafadz  tersebut, kata “</w:t>
      </w:r>
      <w:r w:rsidRPr="00EA18CA">
        <w:rPr>
          <w:i/>
          <w:iCs/>
          <w:lang w:val="en-GB"/>
        </w:rPr>
        <w:t xml:space="preserve">hudan lil-muttaqin” </w:t>
      </w:r>
      <w:r w:rsidRPr="00EA18CA">
        <w:rPr>
          <w:lang w:val="en-GB"/>
        </w:rPr>
        <w:t>menunjukkan fungsi sebagai</w:t>
      </w:r>
      <w:r w:rsidRPr="00EA18CA">
        <w:rPr>
          <w:i/>
          <w:iCs/>
          <w:lang w:val="en-GB"/>
        </w:rPr>
        <w:t xml:space="preserve"> al-wasfu</w:t>
      </w:r>
      <w:r w:rsidRPr="00EA18CA">
        <w:rPr>
          <w:lang w:val="en-GB"/>
        </w:rPr>
        <w:t xml:space="preserve"> yang menggambarkan pihak yang menerima petunjuk.</w:t>
      </w:r>
      <w:r w:rsidRPr="00EA18CA">
        <w:rPr>
          <w:vertAlign w:val="superscript"/>
          <w:lang w:val="en-GB"/>
        </w:rPr>
        <w:footnoteReference w:id="15"/>
      </w:r>
      <w:r w:rsidRPr="00EA18CA">
        <w:rPr>
          <w:lang w:val="en-GB"/>
        </w:rPr>
        <w:t xml:space="preserve"> Dalam Qawaid Tafsir </w:t>
      </w:r>
      <w:r w:rsidRPr="00EA18CA">
        <w:rPr>
          <w:i/>
          <w:iCs/>
          <w:lang w:val="en-GB"/>
        </w:rPr>
        <w:t>al-wasfu</w:t>
      </w:r>
      <w:r w:rsidRPr="00EA18CA">
        <w:rPr>
          <w:lang w:val="en-GB"/>
        </w:rPr>
        <w:t xml:space="preserve"> mempunyai dua fungsi, yaitu sebagai pengkhususan atau pembatasan (</w:t>
      </w:r>
      <w:r w:rsidRPr="00EA18CA">
        <w:rPr>
          <w:i/>
          <w:iCs/>
          <w:lang w:val="en-GB"/>
        </w:rPr>
        <w:t>taqyid</w:t>
      </w:r>
      <w:r w:rsidRPr="00EA18CA">
        <w:rPr>
          <w:lang w:val="en-GB"/>
        </w:rPr>
        <w:t>) atau sebagai penjelas (</w:t>
      </w:r>
      <w:r w:rsidRPr="00EA18CA">
        <w:rPr>
          <w:i/>
          <w:iCs/>
          <w:lang w:val="en-GB"/>
        </w:rPr>
        <w:t>tawdhih</w:t>
      </w:r>
      <w:r w:rsidRPr="00EA18CA">
        <w:rPr>
          <w:lang w:val="en-GB"/>
        </w:rPr>
        <w:t>). Apabila dipahami sebagai pembatas, maka makna ayat tersebut menjadi eksklusif, yakni petunjuk Al-Qur’an hanya ditujukan kepada orang-orang yang bertakwa. Akan tetapi, jika dipahami sebagai penjelas, maka makna ayat bersifat inklusif, yakni Al-Qur’an tetap dimaknai sebagai petunjuk bagi seluruh manusia, sementara orang-orang bertakwa merupakan pihak yang paling mampu dalam mengambil manfaat darinya.</w:t>
      </w:r>
      <w:r w:rsidRPr="00EA18CA">
        <w:rPr>
          <w:vertAlign w:val="superscript"/>
          <w:lang w:val="en-GB"/>
        </w:rPr>
        <w:footnoteReference w:id="16"/>
      </w:r>
    </w:p>
    <w:p w14:paraId="234ECECC" w14:textId="77777777" w:rsidR="00EA18CA" w:rsidRPr="00EA18CA" w:rsidRDefault="00EA18CA" w:rsidP="00EA18CA">
      <w:pPr>
        <w:spacing w:after="280"/>
        <w:jc w:val="both"/>
        <w:rPr>
          <w:lang w:val="en-GB"/>
        </w:rPr>
      </w:pPr>
      <w:r w:rsidRPr="00EA18CA">
        <w:rPr>
          <w:lang w:val="en-GB"/>
        </w:rPr>
        <w:t xml:space="preserve">Maka dari itu, kajian mengenai fungsi </w:t>
      </w:r>
      <w:r w:rsidRPr="00EA18CA">
        <w:rPr>
          <w:i/>
          <w:iCs/>
          <w:lang w:val="en-GB"/>
        </w:rPr>
        <w:t>al-wasfu</w:t>
      </w:r>
      <w:r w:rsidRPr="00EA18CA">
        <w:rPr>
          <w:lang w:val="en-GB"/>
        </w:rPr>
        <w:t xml:space="preserve"> dalam ayat ini menjadi kunci untuk memahami cakupan makna “petunjuk” yang dimaksud dalam Al-Qur’an.</w:t>
      </w:r>
    </w:p>
    <w:p w14:paraId="21601DD6" w14:textId="77777777" w:rsidR="00EA18CA" w:rsidRPr="00EA18CA" w:rsidRDefault="00EA18CA" w:rsidP="00EA18CA">
      <w:pPr>
        <w:numPr>
          <w:ilvl w:val="1"/>
          <w:numId w:val="2"/>
        </w:numPr>
        <w:spacing w:after="280"/>
        <w:jc w:val="both"/>
        <w:rPr>
          <w:b/>
          <w:lang w:val="en-GB"/>
        </w:rPr>
      </w:pPr>
      <w:r w:rsidRPr="00EA18CA">
        <w:rPr>
          <w:b/>
          <w:lang w:val="en-GB"/>
        </w:rPr>
        <w:t xml:space="preserve">Penerapan Kaidah Al-Wasfu dalam Tafsir Al-Zamakhshari dan </w:t>
      </w:r>
      <w:r w:rsidRPr="00EA18CA">
        <w:rPr>
          <w:b/>
          <w:lang w:val="en-GB"/>
        </w:rPr>
        <w:tab/>
        <w:t>Wahbah Az-Zuhaili</w:t>
      </w:r>
    </w:p>
    <w:p w14:paraId="7F655748" w14:textId="77777777" w:rsidR="00EA18CA" w:rsidRPr="00EA18CA" w:rsidRDefault="00EA18CA" w:rsidP="00EA18CA">
      <w:pPr>
        <w:spacing w:after="280"/>
        <w:jc w:val="both"/>
        <w:rPr>
          <w:lang w:val="en-GB"/>
        </w:rPr>
      </w:pPr>
      <w:r w:rsidRPr="00EA18CA">
        <w:rPr>
          <w:lang w:val="en-GB"/>
        </w:rPr>
        <w:t xml:space="preserve">Al-Zamakhshari dalam kitab tafsirnya yaitu </w:t>
      </w:r>
      <w:r w:rsidRPr="00EA18CA">
        <w:rPr>
          <w:i/>
          <w:iCs/>
          <w:lang w:val="en-GB"/>
        </w:rPr>
        <w:t>Al-Kashshaf</w:t>
      </w:r>
      <w:r w:rsidRPr="00EA18CA">
        <w:rPr>
          <w:lang w:val="en-GB"/>
        </w:rPr>
        <w:t xml:space="preserve">, cenderung memahami </w:t>
      </w:r>
      <w:r w:rsidRPr="00EA18CA">
        <w:rPr>
          <w:i/>
          <w:iCs/>
          <w:lang w:val="en-GB"/>
        </w:rPr>
        <w:t>al-wasfu</w:t>
      </w:r>
      <w:r w:rsidRPr="00EA18CA">
        <w:rPr>
          <w:lang w:val="en-GB"/>
        </w:rPr>
        <w:t xml:space="preserve"> dari aspek linguistik (kebahasaan) yang tegas dan selektif.</w:t>
      </w:r>
      <w:r w:rsidRPr="00EA18CA">
        <w:rPr>
          <w:vertAlign w:val="superscript"/>
          <w:lang w:val="en-GB"/>
        </w:rPr>
        <w:footnoteReference w:id="17"/>
      </w:r>
      <w:r w:rsidRPr="00EA18CA">
        <w:rPr>
          <w:lang w:val="en-GB"/>
        </w:rPr>
        <w:t xml:space="preserve"> Al-Zamakhshari dalam </w:t>
      </w:r>
      <w:r w:rsidRPr="00EA18CA">
        <w:rPr>
          <w:i/>
          <w:iCs/>
          <w:lang w:val="en-GB"/>
        </w:rPr>
        <w:t>Al-Kashshaf</w:t>
      </w:r>
      <w:r w:rsidRPr="00EA18CA">
        <w:rPr>
          <w:lang w:val="en-GB"/>
        </w:rPr>
        <w:t xml:space="preserve"> menjelaskan bahwa frasa </w:t>
      </w:r>
      <w:r w:rsidRPr="00EA18CA">
        <w:rPr>
          <w:rtl/>
        </w:rPr>
        <w:t xml:space="preserve">هدى للمتقين </w:t>
      </w:r>
      <w:r w:rsidRPr="00EA18CA">
        <w:rPr>
          <w:lang w:val="en-GB"/>
        </w:rPr>
        <w:t xml:space="preserve"> merupakan bentuk pengkhususan terhadap pihak yang benar-benar memperoleh manfaat dari Al-Qur'an. Menurutnya, Al-Qur'an memang diturunkan kepada seluruh manusia, namun petunjuknya hanya terealisasi secara sempurna pada orang-orang bertakwa. Oleh karena itu penyebutan </w:t>
      </w:r>
      <w:r w:rsidRPr="00EA18CA">
        <w:rPr>
          <w:rtl/>
        </w:rPr>
        <w:t xml:space="preserve">للمتقين </w:t>
      </w:r>
      <w:r w:rsidRPr="00EA18CA">
        <w:rPr>
          <w:lang w:val="en-GB"/>
        </w:rPr>
        <w:t xml:space="preserve"> dipahami sebagai bentuk takhṣīṣ, bukan sekadar penyebutan sifat biasa.</w:t>
      </w:r>
      <w:r w:rsidRPr="00EA18CA">
        <w:rPr>
          <w:vertAlign w:val="superscript"/>
          <w:lang w:val="en-GB"/>
        </w:rPr>
        <w:footnoteReference w:id="18"/>
      </w:r>
    </w:p>
    <w:p w14:paraId="6DD25C5D" w14:textId="77777777" w:rsidR="00EA18CA" w:rsidRPr="00EA18CA" w:rsidRDefault="00EA18CA" w:rsidP="00EA18CA">
      <w:pPr>
        <w:spacing w:after="280"/>
        <w:jc w:val="both"/>
        <w:rPr>
          <w:lang w:val="en-GB"/>
        </w:rPr>
      </w:pPr>
      <w:r w:rsidRPr="00EA18CA">
        <w:rPr>
          <w:rtl/>
        </w:rPr>
        <w:t>هدى للمتقين خاصة لأنهم المنتفعون به</w:t>
      </w:r>
      <w:r w:rsidRPr="00EA18CA">
        <w:rPr>
          <w:vertAlign w:val="superscript"/>
          <w:rtl/>
        </w:rPr>
        <w:footnoteReference w:id="19"/>
      </w:r>
    </w:p>
    <w:p w14:paraId="3A2E5BB0" w14:textId="77777777" w:rsidR="00EA18CA" w:rsidRPr="00EA18CA" w:rsidRDefault="00EA18CA" w:rsidP="00EA18CA">
      <w:pPr>
        <w:spacing w:after="280"/>
        <w:jc w:val="both"/>
        <w:rPr>
          <w:lang w:val="en-GB"/>
        </w:rPr>
      </w:pPr>
      <w:r w:rsidRPr="00EA18CA">
        <w:rPr>
          <w:lang w:val="en-GB"/>
        </w:rPr>
        <w:t xml:space="preserve">Dalam hal ini menunjukkan bahwasannya makna ayat tidak bersifat umum bagi seluruh manusia, melainkan terbatas hanya pada mereka yang mempunyai kesiapan spiritual (ketakwaan). Dengan arti lain bahwa </w:t>
      </w:r>
      <w:r w:rsidRPr="00EA18CA">
        <w:rPr>
          <w:i/>
          <w:iCs/>
          <w:lang w:val="en-GB"/>
        </w:rPr>
        <w:t>al-wasfu</w:t>
      </w:r>
      <w:r w:rsidRPr="00EA18CA">
        <w:rPr>
          <w:lang w:val="en-GB"/>
        </w:rPr>
        <w:t xml:space="preserve"> dalam ayat ini berfungsi untuk mempersempit cakupan makna, sehingga tidak semua orang dapat memperoleh petunjuk secara otomatis. </w:t>
      </w:r>
    </w:p>
    <w:p w14:paraId="1F804B2D" w14:textId="77777777" w:rsidR="00EA18CA" w:rsidRPr="00EA18CA" w:rsidRDefault="00EA18CA" w:rsidP="00EA18CA">
      <w:pPr>
        <w:spacing w:after="280"/>
        <w:jc w:val="both"/>
        <w:rPr>
          <w:lang w:val="en-GB"/>
        </w:rPr>
      </w:pPr>
      <w:r w:rsidRPr="00EA18CA">
        <w:rPr>
          <w:lang w:val="en-GB"/>
        </w:rPr>
        <w:t xml:space="preserve">Sedangkan perbedaan perspektif dari Wahbah Az-Zuhaili dalam kitab tafsir karyanya yaitu </w:t>
      </w:r>
      <w:r w:rsidRPr="00EA18CA">
        <w:rPr>
          <w:i/>
          <w:iCs/>
          <w:lang w:val="en-GB"/>
        </w:rPr>
        <w:t>Tafsir Munir</w:t>
      </w:r>
      <w:r w:rsidRPr="00EA18CA">
        <w:rPr>
          <w:lang w:val="en-GB"/>
        </w:rPr>
        <w:t xml:space="preserve"> yang menafsirkan lafadz “</w:t>
      </w:r>
      <w:r w:rsidRPr="00EA18CA">
        <w:rPr>
          <w:i/>
          <w:iCs/>
          <w:lang w:val="en-GB"/>
        </w:rPr>
        <w:t xml:space="preserve">hudan lil-muttaqin” </w:t>
      </w:r>
      <w:r w:rsidRPr="00EA18CA">
        <w:rPr>
          <w:lang w:val="en-GB"/>
        </w:rPr>
        <w:t>sebagai bentuk yang lebih kontekstual.</w:t>
      </w:r>
      <w:r w:rsidRPr="00EA18CA">
        <w:rPr>
          <w:vertAlign w:val="superscript"/>
          <w:lang w:val="en-GB"/>
        </w:rPr>
        <w:footnoteReference w:id="20"/>
      </w:r>
      <w:r w:rsidRPr="00EA18CA">
        <w:rPr>
          <w:lang w:val="en-GB"/>
        </w:rPr>
        <w:t xml:space="preserve"> Beliau memandang kaidah </w:t>
      </w:r>
      <w:r w:rsidRPr="00EA18CA">
        <w:rPr>
          <w:i/>
          <w:iCs/>
          <w:lang w:val="en-GB"/>
        </w:rPr>
        <w:t>al-wasfu</w:t>
      </w:r>
      <w:r w:rsidRPr="00EA18CA">
        <w:rPr>
          <w:lang w:val="en-GB"/>
        </w:rPr>
        <w:t xml:space="preserve"> tersebut bukan sebagai pembatas mutlak, melainkan sebagai penjelas ( </w:t>
      </w:r>
      <w:r w:rsidRPr="00EA18CA">
        <w:rPr>
          <w:i/>
          <w:iCs/>
          <w:lang w:val="en-GB"/>
        </w:rPr>
        <w:t xml:space="preserve">muwadhdhihah </w:t>
      </w:r>
      <w:r w:rsidRPr="00EA18CA">
        <w:rPr>
          <w:lang w:val="en-GB"/>
        </w:rPr>
        <w:t>atau</w:t>
      </w:r>
      <w:r w:rsidRPr="00EA18CA">
        <w:rPr>
          <w:i/>
          <w:iCs/>
          <w:lang w:val="en-GB"/>
        </w:rPr>
        <w:t xml:space="preserve"> tawdhih</w:t>
      </w:r>
      <w:r w:rsidRPr="00EA18CA">
        <w:rPr>
          <w:lang w:val="en-GB"/>
        </w:rPr>
        <w:t>). Wahbah Az-Zuhaili menjelaskan bahwa Al-Qur'an pada hakikatnya merupakan petunjuk bagi seluruh manusia sebagaimana ditegaskan dalam ayat-ayat lain. Adapun penyebutan orang-orang bertakwa menunjukkan kelompok yang paling sempurna menerima manfaat petunjuk tersebut. Dengan demikian sifat tersebut tidak membatasi objek hidayah, melainkan menjelaskan kualitas penerimanya.</w:t>
      </w:r>
      <w:r w:rsidRPr="00EA18CA">
        <w:rPr>
          <w:vertAlign w:val="superscript"/>
          <w:lang w:val="en-GB"/>
        </w:rPr>
        <w:footnoteReference w:id="21"/>
      </w:r>
    </w:p>
    <w:p w14:paraId="17D0C7D4" w14:textId="77777777" w:rsidR="00EA18CA" w:rsidRPr="00EA18CA" w:rsidRDefault="00EA18CA" w:rsidP="00EA18CA">
      <w:pPr>
        <w:spacing w:after="280"/>
        <w:jc w:val="both"/>
        <w:rPr>
          <w:lang w:val="en-GB"/>
        </w:rPr>
      </w:pPr>
      <w:r w:rsidRPr="00EA18CA">
        <w:rPr>
          <w:lang w:val="en-GB"/>
        </w:rPr>
        <w:t xml:space="preserve">Namun, </w:t>
      </w:r>
      <w:r w:rsidRPr="00EA18CA">
        <w:rPr>
          <w:i/>
          <w:iCs/>
          <w:lang w:val="en-GB"/>
        </w:rPr>
        <w:t>al-wasfu</w:t>
      </w:r>
      <w:r w:rsidRPr="00EA18CA">
        <w:rPr>
          <w:lang w:val="en-GB"/>
        </w:rPr>
        <w:t xml:space="preserve"> dalam ayat tersebut berfungsi sebagai penegasan terhadap kelompok yang paling optimal dalam mengambil manfaat, bukan sebagai pembatas yang meniadakan kelompok lain. Pendekatan ini menegaskan perhatian aspek makna dan tujuan (</w:t>
      </w:r>
      <w:r w:rsidRPr="00EA18CA">
        <w:rPr>
          <w:i/>
          <w:iCs/>
          <w:lang w:val="en-GB"/>
        </w:rPr>
        <w:t>maqasid</w:t>
      </w:r>
      <w:r w:rsidRPr="00EA18CA">
        <w:rPr>
          <w:lang w:val="en-GB"/>
        </w:rPr>
        <w:t xml:space="preserve">) dalam penafsiran. Perbedaan kedua mufassir sebenarnya tidak terletak pada makna kata </w:t>
      </w:r>
      <w:r w:rsidRPr="00EA18CA">
        <w:rPr>
          <w:i/>
          <w:iCs/>
          <w:lang w:val="en-GB"/>
        </w:rPr>
        <w:t>al-muttaqīn</w:t>
      </w:r>
      <w:r w:rsidRPr="00EA18CA">
        <w:rPr>
          <w:lang w:val="en-GB"/>
        </w:rPr>
        <w:t>, tetapi pada fungsi al-waṣf itu sendiri. Al-Zamakhshari memosisikan al-waṣf sebagai mukhashshiṣ yang mempersempit cakupan makna, sedangkan Wahbah Az-Zuhaili memosisikannya sebagai muwaḍḍiḥ yang menjelaskan siapa penerima manfaat paling sempurna. Dengan demikian, perbedaan tafsir lahir dari perbedaan penerapan kaidah al-waṣf.</w:t>
      </w:r>
      <w:r w:rsidRPr="00EA18CA">
        <w:rPr>
          <w:vertAlign w:val="superscript"/>
          <w:lang w:val="en-GB"/>
        </w:rPr>
        <w:footnoteReference w:id="22"/>
      </w:r>
    </w:p>
    <w:p w14:paraId="3F8ED89F" w14:textId="77777777" w:rsidR="00EA18CA" w:rsidRPr="00EA18CA" w:rsidRDefault="00EA18CA" w:rsidP="00EA18CA">
      <w:pPr>
        <w:numPr>
          <w:ilvl w:val="1"/>
          <w:numId w:val="2"/>
        </w:numPr>
        <w:spacing w:after="280"/>
        <w:jc w:val="both"/>
        <w:rPr>
          <w:b/>
          <w:lang w:val="en-GB"/>
        </w:rPr>
      </w:pPr>
      <w:r w:rsidRPr="00EA18CA">
        <w:rPr>
          <w:b/>
          <w:lang w:val="en-GB"/>
        </w:rPr>
        <w:t>Analisis Komparatif Kaidah Al-Wasfu dalam Tafsir Al-Zamakhshari dan Wahbah Az-Zuhaili</w:t>
      </w:r>
    </w:p>
    <w:p w14:paraId="661925F9" w14:textId="77777777" w:rsidR="00EA18CA" w:rsidRPr="00EA18CA" w:rsidRDefault="00EA18CA" w:rsidP="00EA18CA">
      <w:pPr>
        <w:spacing w:after="280"/>
        <w:jc w:val="both"/>
        <w:rPr>
          <w:lang w:val="en-GB"/>
        </w:rPr>
      </w:pPr>
      <w:r w:rsidRPr="00EA18CA">
        <w:rPr>
          <w:lang w:val="en-GB"/>
        </w:rPr>
        <w:t xml:space="preserve">Dari kedua hal diatas implikasinya adalah penafsiran yang pertama cenderung menghasilkan makna yang eksklusif, sementara itu penafsiran kedua menghasilkan makna yang lebih inklusif. Hal ini mengarah pada hasil penerapan </w:t>
      </w:r>
      <w:r w:rsidRPr="00EA18CA">
        <w:rPr>
          <w:i/>
          <w:iCs/>
          <w:lang w:val="en-GB"/>
        </w:rPr>
        <w:t>al-wasfu</w:t>
      </w:r>
      <w:r w:rsidRPr="00EA18CA">
        <w:rPr>
          <w:lang w:val="en-GB"/>
        </w:rPr>
        <w:t xml:space="preserve"> sangat bergantung pada pendekatan yang digunakan oleh mufassir. Karena perbedaan dalam memahami suatu kaidah dalam tafsir tidak selalu menghasilkan satu makna yang seragam. Perbedaan ini menunjukkan bahwa pendekatan linguistik cenderung menghasilkan batasan makna yang lebih ketat, sedangkan pendekatan kontekstual membuka kemungkinan makna yang lebih luas.</w:t>
      </w:r>
      <w:r w:rsidRPr="00EA18CA">
        <w:rPr>
          <w:vertAlign w:val="superscript"/>
          <w:lang w:val="en-GB"/>
        </w:rPr>
        <w:t xml:space="preserve"> </w:t>
      </w:r>
      <w:r w:rsidRPr="00EA18CA">
        <w:rPr>
          <w:vertAlign w:val="superscript"/>
          <w:lang w:val="en-GB"/>
        </w:rPr>
        <w:footnoteReference w:id="23"/>
      </w:r>
    </w:p>
    <w:p w14:paraId="67862C54" w14:textId="1F5A92A1" w:rsidR="003A551B" w:rsidRDefault="00EA18CA" w:rsidP="00EA18CA">
      <w:pPr>
        <w:spacing w:after="280"/>
        <w:jc w:val="both"/>
      </w:pPr>
      <w:r w:rsidRPr="00EA18CA">
        <w:rPr>
          <w:lang w:val="en-GB"/>
        </w:rPr>
        <w:t xml:space="preserve">Dengan demikian, </w:t>
      </w:r>
      <w:r w:rsidRPr="00EA18CA">
        <w:rPr>
          <w:i/>
          <w:iCs/>
          <w:lang w:val="en-GB"/>
        </w:rPr>
        <w:t xml:space="preserve">al-wasfu </w:t>
      </w:r>
      <w:r w:rsidRPr="00EA18CA">
        <w:rPr>
          <w:lang w:val="en-GB"/>
        </w:rPr>
        <w:t>dalam Al-Qur’an tidak selalu bersifat pembatas, tetapi dapat berfungsi secara kontekstual sesuai dengan tujuan makna ayat.</w:t>
      </w:r>
      <w:r w:rsidRPr="00EA18CA">
        <w:t xml:space="preserve"> </w:t>
      </w:r>
    </w:p>
    <w:p w14:paraId="215F86BB" w14:textId="057E5E07" w:rsidR="003A551B" w:rsidRDefault="00000000">
      <w:pPr>
        <w:spacing w:before="300" w:after="150"/>
      </w:pPr>
      <w:r>
        <w:rPr>
          <w:b/>
          <w:bCs/>
        </w:rPr>
        <w:t>SIMPULAN</w:t>
      </w:r>
    </w:p>
    <w:p w14:paraId="03A07DD3" w14:textId="77777777" w:rsidR="00EA18CA" w:rsidRPr="00EA18CA" w:rsidRDefault="00EA18CA" w:rsidP="00EA18CA">
      <w:pPr>
        <w:spacing w:after="200"/>
        <w:jc w:val="both"/>
        <w:rPr>
          <w:lang w:val="en-GB"/>
        </w:rPr>
      </w:pPr>
      <w:r w:rsidRPr="00EA18CA">
        <w:rPr>
          <w:lang w:val="en-GB"/>
        </w:rPr>
        <w:t xml:space="preserve">Berdasarkan hasil penelitian, dapat disimpulkan bahwa </w:t>
      </w:r>
      <w:r w:rsidRPr="00EA18CA">
        <w:rPr>
          <w:i/>
          <w:iCs/>
          <w:lang w:val="en-GB"/>
        </w:rPr>
        <w:t>al-waṣf</w:t>
      </w:r>
      <w:r w:rsidRPr="00EA18CA">
        <w:rPr>
          <w:lang w:val="en-GB"/>
        </w:rPr>
        <w:t xml:space="preserve"> sebagai sifat ismiyyah dalam Qawā'id al-Tafsīr memiliki beragam fungsi, namun penelitian ini memfokuskan pada fungsi sebagai m</w:t>
      </w:r>
      <w:r w:rsidRPr="00EA18CA">
        <w:rPr>
          <w:i/>
          <w:iCs/>
          <w:lang w:val="en-GB"/>
        </w:rPr>
        <w:t>ukhashshiṣ</w:t>
      </w:r>
      <w:r w:rsidRPr="00EA18CA">
        <w:rPr>
          <w:lang w:val="en-GB"/>
        </w:rPr>
        <w:t xml:space="preserve"> (pembatas) dan </w:t>
      </w:r>
      <w:r w:rsidRPr="00EA18CA">
        <w:rPr>
          <w:i/>
          <w:iCs/>
          <w:lang w:val="en-GB"/>
        </w:rPr>
        <w:t>muwaḍḍiḥ</w:t>
      </w:r>
      <w:r w:rsidRPr="00EA18CA">
        <w:rPr>
          <w:lang w:val="en-GB"/>
        </w:rPr>
        <w:t xml:space="preserve"> (penjelas). Penerapan kaidah tersebut pada QS. Al-Baqarah ayat 2 menunjukkan perbedaan antara Al-Zamakhshari dan Wahbah Az-Zuhaili. Al-Zamakhshari memaknai </w:t>
      </w:r>
      <w:r w:rsidRPr="00EA18CA">
        <w:rPr>
          <w:i/>
          <w:iCs/>
          <w:lang w:val="en-GB"/>
        </w:rPr>
        <w:t>al-waṣf</w:t>
      </w:r>
      <w:r w:rsidRPr="00EA18CA">
        <w:rPr>
          <w:lang w:val="en-GB"/>
        </w:rPr>
        <w:t xml:space="preserve"> sebagai pembatas sehingga petunjuk Al-Qur'an dipahami secara khusus bagi orang-orang bertakwa, sedangkan Wahbah Az-Zuhaili memaknainya sebagai penjelas sehingga Al-Qur'an tetap dipahami sebagai petunjuk bagi seluruh manusia, sementara orang-orang bertakwa merupakan pihak yang paling optimal menerima manfaatnya. Perbedaan tersebut menunjukkan bahwa fungsi al-waṣf berpengaruh terhadap cakupan makna ayat dan sangat dipengaruhi oleh pendekatan kebahasaan maupun metodologi yang digunakan oleh masing-masing mufassir. </w:t>
      </w:r>
    </w:p>
    <w:p w14:paraId="3C7668D6" w14:textId="457CB31A" w:rsidR="003A551B" w:rsidRDefault="00EA18CA" w:rsidP="00EA18CA">
      <w:pPr>
        <w:spacing w:after="200"/>
        <w:jc w:val="both"/>
      </w:pPr>
      <w:r w:rsidRPr="00EA18CA">
        <w:rPr>
          <w:lang w:val="en-GB"/>
        </w:rPr>
        <w:t xml:space="preserve">Temuan ini sekaligus menunjukkan bahwa analisis fungsi al-waṣf sebagai sifat ismiyyah mempunyai pengaruh langsung terhadap penentuan cakupan makna ayat dalam tafsir. Agar memperoleh pemahaman yang lebih komprehensif studi tentang </w:t>
      </w:r>
      <w:r w:rsidRPr="00EA18CA">
        <w:rPr>
          <w:i/>
          <w:iCs/>
          <w:lang w:val="en-GB"/>
        </w:rPr>
        <w:t>al-wasfu</w:t>
      </w:r>
      <w:r w:rsidRPr="00EA18CA">
        <w:rPr>
          <w:lang w:val="en-GB"/>
        </w:rPr>
        <w:t xml:space="preserve"> dalam Qawaid Tafsir ini harus diperluas lebih lanjut dengan mengkaji ayat-ayat lain. Selain itu, penting bagi peneliti untuk mengintegrasikan pendekatan kebahasaan dan kontekstual guna hasil penafsiran tidak bersifat parsial, melainkan lebih utuh dan relevan</w:t>
      </w:r>
      <w:r w:rsidR="00000000">
        <w:t>.</w:t>
      </w:r>
    </w:p>
    <w:p w14:paraId="23BC1852" w14:textId="77777777" w:rsidR="003A551B" w:rsidRDefault="003A551B">
      <w:pPr>
        <w:pageBreakBefore/>
      </w:pPr>
    </w:p>
    <w:p w14:paraId="01FDC381" w14:textId="77777777" w:rsidR="003A551B" w:rsidRDefault="00000000">
      <w:pPr>
        <w:spacing w:after="200"/>
        <w:jc w:val="center"/>
      </w:pPr>
      <w:r>
        <w:rPr>
          <w:b/>
          <w:bCs/>
        </w:rPr>
        <w:t>DAFTAR PUSTAKA</w:t>
      </w:r>
    </w:p>
    <w:p w14:paraId="6BE4F417" w14:textId="77777777" w:rsidR="00EA18CA" w:rsidRPr="00EA18CA" w:rsidRDefault="00EA18CA" w:rsidP="00EA18CA">
      <w:pPr>
        <w:spacing w:after="120"/>
        <w:ind w:left="720" w:hanging="720"/>
        <w:jc w:val="both"/>
        <w:rPr>
          <w:bCs/>
        </w:rPr>
      </w:pPr>
      <w:r w:rsidRPr="00EA18CA">
        <w:rPr>
          <w:bCs/>
        </w:rPr>
        <w:t>Akbar, Fajar Hamdani, dan Asep Rahmat. “Kajian Analitik dan Epistemik Terhadap Corak Lughawī dan Kecenderungan I’tizāli Tafsir Al-Kasysyāf.” Vol. 1, no. 1 (2021).</w:t>
      </w:r>
    </w:p>
    <w:p w14:paraId="49750985" w14:textId="77777777" w:rsidR="00EA18CA" w:rsidRPr="00EA18CA" w:rsidRDefault="00EA18CA" w:rsidP="00EA18CA">
      <w:pPr>
        <w:spacing w:after="120"/>
        <w:ind w:left="720" w:hanging="720"/>
        <w:jc w:val="both"/>
        <w:rPr>
          <w:bCs/>
        </w:rPr>
      </w:pPr>
      <w:r w:rsidRPr="00EA18CA">
        <w:rPr>
          <w:lang w:val="en-GB"/>
        </w:rPr>
        <w:t>Al-Zamakhshari, Al-</w:t>
      </w:r>
      <w:r w:rsidRPr="00EA18CA">
        <w:rPr>
          <w:i/>
          <w:iCs/>
          <w:lang w:val="en-GB"/>
        </w:rPr>
        <w:t xml:space="preserve">Kashshaf’an Haqa’iq Ghawamid Al-Tanzil, </w:t>
      </w:r>
      <w:r w:rsidRPr="00EA18CA">
        <w:rPr>
          <w:lang w:val="en-GB"/>
        </w:rPr>
        <w:t>Jilid 1 (Beirut: Dar al-Kutub Al-Ilmiyyah t.t.)</w:t>
      </w:r>
    </w:p>
    <w:p w14:paraId="29FB1433" w14:textId="77777777" w:rsidR="00EA18CA" w:rsidRPr="00EA18CA" w:rsidRDefault="00EA18CA" w:rsidP="00EA18CA">
      <w:pPr>
        <w:spacing w:after="120"/>
        <w:ind w:left="720" w:hanging="720"/>
        <w:jc w:val="both"/>
        <w:rPr>
          <w:bCs/>
        </w:rPr>
      </w:pPr>
      <w:r w:rsidRPr="00EA18CA">
        <w:rPr>
          <w:bCs/>
        </w:rPr>
        <w:t xml:space="preserve">Frimansyah, dan Syahri Wahyuni. </w:t>
      </w:r>
      <w:r w:rsidRPr="00EA18CA">
        <w:rPr>
          <w:bCs/>
          <w:i/>
          <w:iCs/>
        </w:rPr>
        <w:t>Tafsir Al-Kasyaf: Al-Fatihah dan Al-Baqarah Ayat 1–5</w:t>
      </w:r>
      <w:r w:rsidRPr="00EA18CA">
        <w:rPr>
          <w:bCs/>
        </w:rPr>
        <w:t>. Sengkang: Universitas Islam As’adiyah (UNISAD), 2025.</w:t>
      </w:r>
    </w:p>
    <w:p w14:paraId="2042BD0C" w14:textId="77777777" w:rsidR="00EA18CA" w:rsidRPr="00EA18CA" w:rsidRDefault="00EA18CA" w:rsidP="00EA18CA">
      <w:pPr>
        <w:spacing w:after="120"/>
        <w:ind w:left="720" w:hanging="720"/>
        <w:jc w:val="both"/>
        <w:rPr>
          <w:bCs/>
        </w:rPr>
      </w:pPr>
      <w:r w:rsidRPr="00EA18CA">
        <w:rPr>
          <w:bCs/>
        </w:rPr>
        <w:t xml:space="preserve">Kementerian Agama Republik Indonesia. </w:t>
      </w:r>
      <w:r w:rsidRPr="00EA18CA">
        <w:rPr>
          <w:bCs/>
          <w:i/>
          <w:iCs/>
        </w:rPr>
        <w:t>Al-Qur’an dan Terjemahannya</w:t>
      </w:r>
      <w:r w:rsidRPr="00EA18CA">
        <w:rPr>
          <w:bCs/>
        </w:rPr>
        <w:t>. Jakarta: Kementerian Agama RI, 2019.</w:t>
      </w:r>
    </w:p>
    <w:p w14:paraId="3B5B4B01" w14:textId="77777777" w:rsidR="00EA18CA" w:rsidRPr="00EA18CA" w:rsidRDefault="00EA18CA" w:rsidP="00EA18CA">
      <w:pPr>
        <w:spacing w:after="120"/>
        <w:ind w:left="720" w:hanging="720"/>
        <w:jc w:val="both"/>
        <w:rPr>
          <w:bCs/>
        </w:rPr>
      </w:pPr>
      <w:r w:rsidRPr="00EA18CA">
        <w:rPr>
          <w:bCs/>
        </w:rPr>
        <w:t xml:space="preserve">Mabrur. “Moderasi Al-Qur’an dan Penafsiran Kontemporer: Analisis Pemikiran Wahbah Zuhaili dan Relevansinya dalam Konteks Indonesia Modern.” </w:t>
      </w:r>
      <w:r w:rsidRPr="00EA18CA">
        <w:rPr>
          <w:bCs/>
          <w:i/>
          <w:iCs/>
        </w:rPr>
        <w:t>Mumtaz</w:t>
      </w:r>
      <w:r w:rsidRPr="00EA18CA">
        <w:rPr>
          <w:bCs/>
        </w:rPr>
        <w:t xml:space="preserve"> 1, no. 2 (2017).</w:t>
      </w:r>
    </w:p>
    <w:p w14:paraId="38593071" w14:textId="77777777" w:rsidR="00EA18CA" w:rsidRPr="00EA18CA" w:rsidRDefault="00EA18CA" w:rsidP="00EA18CA">
      <w:pPr>
        <w:spacing w:after="120"/>
        <w:ind w:left="720" w:hanging="720"/>
        <w:jc w:val="both"/>
        <w:rPr>
          <w:bCs/>
        </w:rPr>
      </w:pPr>
      <w:r w:rsidRPr="00EA18CA">
        <w:rPr>
          <w:bCs/>
        </w:rPr>
        <w:t xml:space="preserve">Masrur, Imam. “Telaah Kritis Syarat Mufassir Abad ke-20.” </w:t>
      </w:r>
      <w:r w:rsidRPr="00EA18CA">
        <w:rPr>
          <w:bCs/>
          <w:i/>
          <w:iCs/>
        </w:rPr>
        <w:t>QOF</w:t>
      </w:r>
      <w:r w:rsidRPr="00EA18CA">
        <w:rPr>
          <w:bCs/>
        </w:rPr>
        <w:t xml:space="preserve"> 2, no. 2 (2018).</w:t>
      </w:r>
    </w:p>
    <w:p w14:paraId="50A4390A" w14:textId="77777777" w:rsidR="00EA18CA" w:rsidRPr="00EA18CA" w:rsidRDefault="00EA18CA" w:rsidP="00EA18CA">
      <w:pPr>
        <w:spacing w:after="120"/>
        <w:ind w:left="720" w:hanging="720"/>
        <w:jc w:val="both"/>
        <w:rPr>
          <w:bCs/>
        </w:rPr>
      </w:pPr>
      <w:r w:rsidRPr="00EA18CA">
        <w:rPr>
          <w:bCs/>
        </w:rPr>
        <w:t>Nurrisa, Fahriana, dan Dina Hermina. “Pendekatan Kualitatif dalam Penelitian: Strategi, Tahapan, dan Analisis Data.” Vol. 02, no. 03 (2025).</w:t>
      </w:r>
    </w:p>
    <w:p w14:paraId="472D143E" w14:textId="77777777" w:rsidR="00EA18CA" w:rsidRPr="00EA18CA" w:rsidRDefault="00EA18CA" w:rsidP="00EA18CA">
      <w:pPr>
        <w:spacing w:after="120"/>
        <w:ind w:left="720" w:hanging="720"/>
        <w:jc w:val="both"/>
        <w:rPr>
          <w:bCs/>
        </w:rPr>
      </w:pPr>
      <w:r w:rsidRPr="00EA18CA">
        <w:rPr>
          <w:bCs/>
        </w:rPr>
        <w:t xml:space="preserve">As-Sabt, Khalid bin ‘Utsmān. </w:t>
      </w:r>
      <w:r w:rsidRPr="00EA18CA">
        <w:rPr>
          <w:bCs/>
          <w:i/>
          <w:iCs/>
        </w:rPr>
        <w:t>Qawā’id al-Tafsīr: Jam‘an wa Dirāsatan</w:t>
      </w:r>
      <w:r w:rsidRPr="00EA18CA">
        <w:rPr>
          <w:bCs/>
        </w:rPr>
        <w:t>. Jilid 1. Riyadh: Dar Ibn ‘Affan, 1421 H.</w:t>
      </w:r>
    </w:p>
    <w:p w14:paraId="276E5FAC" w14:textId="77777777" w:rsidR="00EA18CA" w:rsidRPr="00EA18CA" w:rsidRDefault="00EA18CA" w:rsidP="00EA18CA">
      <w:pPr>
        <w:spacing w:after="120"/>
        <w:ind w:left="720" w:hanging="720"/>
        <w:jc w:val="both"/>
        <w:rPr>
          <w:bCs/>
        </w:rPr>
      </w:pPr>
      <w:r w:rsidRPr="00EA18CA">
        <w:rPr>
          <w:bCs/>
        </w:rPr>
        <w:t xml:space="preserve">Sugiyono. </w:t>
      </w:r>
      <w:r w:rsidRPr="00EA18CA">
        <w:rPr>
          <w:bCs/>
          <w:i/>
          <w:iCs/>
        </w:rPr>
        <w:t>Metode Penelitian Kuantitatif, Kualitatif, dan R&amp;D</w:t>
      </w:r>
      <w:r w:rsidRPr="00EA18CA">
        <w:rPr>
          <w:bCs/>
        </w:rPr>
        <w:t>. Bandung: Alfabeta, 2017.</w:t>
      </w:r>
    </w:p>
    <w:p w14:paraId="50591875" w14:textId="77777777" w:rsidR="00EA18CA" w:rsidRPr="00EA18CA" w:rsidRDefault="00EA18CA" w:rsidP="00EA18CA">
      <w:pPr>
        <w:spacing w:after="120"/>
        <w:ind w:left="720" w:hanging="720"/>
        <w:jc w:val="both"/>
        <w:rPr>
          <w:bCs/>
        </w:rPr>
      </w:pPr>
      <w:r w:rsidRPr="00EA18CA">
        <w:rPr>
          <w:bCs/>
        </w:rPr>
        <w:t xml:space="preserve">Syamsuri. “Pengantar Qawa’id al-Tafsir.” </w:t>
      </w:r>
      <w:r w:rsidRPr="00EA18CA">
        <w:rPr>
          <w:bCs/>
          <w:i/>
          <w:iCs/>
        </w:rPr>
        <w:t>Sulesana</w:t>
      </w:r>
      <w:r w:rsidRPr="00EA18CA">
        <w:rPr>
          <w:bCs/>
        </w:rPr>
        <w:t xml:space="preserve"> 6, no. 2 (2011).</w:t>
      </w:r>
    </w:p>
    <w:p w14:paraId="050C2B95" w14:textId="77777777" w:rsidR="00EA18CA" w:rsidRPr="00EA18CA" w:rsidRDefault="00EA18CA" w:rsidP="00EA18CA">
      <w:pPr>
        <w:spacing w:after="120"/>
        <w:ind w:left="720" w:hanging="720"/>
        <w:jc w:val="both"/>
        <w:rPr>
          <w:bCs/>
        </w:rPr>
      </w:pPr>
      <w:r w:rsidRPr="00EA18CA">
        <w:rPr>
          <w:bCs/>
        </w:rPr>
        <w:t>Syauqani, Syamsu. “Analisa Tafsir Al-Munir Karya Syekh Wahbah Az-Zuhaili yang Memiliki Pendekatan Komprehensif dalam Penafsiran Al-Qur’an.” 2025.</w:t>
      </w:r>
    </w:p>
    <w:p w14:paraId="560D37D1" w14:textId="3EF095E5" w:rsidR="003A551B" w:rsidRDefault="00EA18CA" w:rsidP="00EA18CA">
      <w:pPr>
        <w:spacing w:after="120"/>
        <w:ind w:left="720" w:hanging="720"/>
        <w:jc w:val="both"/>
      </w:pPr>
      <w:r w:rsidRPr="00EA18CA">
        <w:rPr>
          <w:bCs/>
        </w:rPr>
        <w:t xml:space="preserve">Az-Zuḥailī, Wahbah. </w:t>
      </w:r>
      <w:r w:rsidRPr="00EA18CA">
        <w:rPr>
          <w:bCs/>
          <w:i/>
          <w:iCs/>
        </w:rPr>
        <w:t>Tafsīr al-Munīr fī al-‘Aqīdah wa al-Sharī‘ah wa al-Manhaj</w:t>
      </w:r>
      <w:r w:rsidRPr="00EA18CA">
        <w:rPr>
          <w:bCs/>
        </w:rPr>
        <w:t>. Jilid 1. Damaskus: Dār al-Fikr, 2009.</w:t>
      </w:r>
    </w:p>
    <w:sectPr w:rsidR="003A551B">
      <w:headerReference w:type="default" r:id="rId9"/>
      <w:foot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00660" w14:textId="77777777" w:rsidR="004A3C66" w:rsidRDefault="004A3C66">
      <w:r>
        <w:separator/>
      </w:r>
    </w:p>
  </w:endnote>
  <w:endnote w:type="continuationSeparator" w:id="0">
    <w:p w14:paraId="4043E346" w14:textId="77777777" w:rsidR="004A3C66" w:rsidRDefault="004A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a Boom">
    <w:panose1 w:val="02000600000000000000"/>
    <w:charset w:val="00"/>
    <w:family w:val="auto"/>
    <w:pitch w:val="variable"/>
    <w:sig w:usb0="00000007" w:usb1="1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123041"/>
      <w:docPartObj>
        <w:docPartGallery w:val="Page Numbers (Bottom of Page)"/>
        <w:docPartUnique/>
      </w:docPartObj>
    </w:sdtPr>
    <w:sdtEndPr>
      <w:rPr>
        <w:noProof/>
      </w:rPr>
    </w:sdtEndPr>
    <w:sdtContent>
      <w:p w14:paraId="3489D420" w14:textId="77777777" w:rsidR="002242EB" w:rsidRDefault="002242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EB0C8D" w14:textId="41660CE1" w:rsidR="003A551B" w:rsidRPr="002242EB" w:rsidRDefault="00EA18CA" w:rsidP="00EA18CA">
    <w:pPr>
      <w:jc w:val="center"/>
      <w:rPr>
        <w:sz w:val="20"/>
        <w:szCs w:val="20"/>
      </w:rPr>
    </w:pPr>
    <w:r>
      <w:rPr>
        <w:sz w:val="20"/>
        <w:szCs w:val="20"/>
      </w:rPr>
      <w:t>Ruly Pebri Andini Putri</w:t>
    </w:r>
    <w:r w:rsidR="002242EB" w:rsidRPr="002242EB">
      <w:rPr>
        <w:sz w:val="20"/>
        <w:szCs w:val="20"/>
      </w:rPr>
      <w:t xml:space="preserve">: </w:t>
    </w:r>
    <w:r w:rsidRPr="00EA18CA">
      <w:rPr>
        <w:i/>
        <w:iCs/>
        <w:noProof/>
        <w:sz w:val="20"/>
        <w:szCs w:val="20"/>
      </w:rPr>
      <w:t xml:space="preserve">Implementasi Kaidah Al-Wasfu Dalam Qs. Al-Baqarah:2 (Analisis Tafsir Zamakhshari </w:t>
    </w:r>
    <w:r>
      <w:rPr>
        <w:i/>
        <w:iCs/>
        <w:noProof/>
        <w:sz w:val="20"/>
        <w:szCs w:val="20"/>
      </w:rPr>
      <w:t>d</w:t>
    </w:r>
    <w:r w:rsidRPr="00EA18CA">
      <w:rPr>
        <w:i/>
        <w:iCs/>
        <w:noProof/>
        <w:sz w:val="20"/>
        <w:szCs w:val="20"/>
      </w:rPr>
      <w:t>an Wahbah Az-Zuhaili)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9BB26" w14:textId="77777777" w:rsidR="004A3C66" w:rsidRDefault="004A3C66">
      <w:r>
        <w:separator/>
      </w:r>
    </w:p>
  </w:footnote>
  <w:footnote w:type="continuationSeparator" w:id="0">
    <w:p w14:paraId="45B14962" w14:textId="77777777" w:rsidR="004A3C66" w:rsidRDefault="004A3C66">
      <w:r>
        <w:continuationSeparator/>
      </w:r>
    </w:p>
  </w:footnote>
  <w:footnote w:id="1">
    <w:p w14:paraId="4994EB21" w14:textId="77777777" w:rsidR="00EA18CA" w:rsidRDefault="00EA18CA" w:rsidP="00EA18CA">
      <w:pPr>
        <w:pStyle w:val="FootnoteText"/>
        <w:jc w:val="both"/>
        <w:rPr>
          <w:rFonts w:ascii="Bookman Old Style" w:hAnsi="Bookman Old Style" w:cs="Calibri"/>
          <w:lang w:eastAsia="en-ID"/>
        </w:rPr>
      </w:pPr>
      <w:r>
        <w:rPr>
          <w:rStyle w:val="FootnoteReference"/>
          <w:rFonts w:ascii="Bookman Old Style" w:hAnsi="Bookman Old Style"/>
        </w:rPr>
        <w:footnoteRef/>
      </w:r>
      <w:r>
        <w:rPr>
          <w:rFonts w:ascii="Bookman Old Style" w:hAnsi="Bookman Old Style"/>
        </w:rPr>
        <w:t xml:space="preserve"> </w:t>
      </w:r>
      <w:r>
        <w:rPr>
          <w:rFonts w:ascii="Bookman Old Style" w:hAnsi="Bookman Old Style"/>
        </w:rPr>
        <w:fldChar w:fldCharType="begin"/>
      </w:r>
      <w:r>
        <w:rPr>
          <w:rFonts w:ascii="Bookman Old Style" w:hAnsi="Bookman Old Style"/>
        </w:rPr>
        <w:instrText xml:space="preserve"> ADDIN ZOTERO_ITEM CSL_CITATION {"citationID":"QIcaDIiN","properties":{"formattedCitation":"Imam Masrur, \\uc0\\u8220{}TELAAH KRITIS SYARAT MUFASSIR ABAD KE-20,\\uc0\\u8221{} {\\i{}QOF}, vol.2, no. 2 (15 Desember 2018): 187\\uc0\\u8211{}201.","plainCitation":"Imam Masrur, “TELAAH KRITIS SYARAT MUFASSIR ABAD KE-20,” QOF, vol.2, no. 2 (15 Desember 2018): 187–201.","dontUpdate":true,"noteIndex":1},"citationItems":[{"id":239,"uris":["http://zotero.org/users/local/PTdFmusP/items/V2HKX86D"],"itemData":{"id":239,"type":"article-journal","abstract":"There is reluctance by some scholars today to reinterpret the Qur’an, because it is guided by a number of strict conditions proposed by classical scholars. On the other hand, in this millennial era we can find a number of people who interpret the Qur’an, even though they do not have a qualified scientific capacity. This makes the Qur'an the first to be a clue, but instead applies the opposite due to the carelessness of the interpreter. Responding to this phenomenon, it is important to study further about what conditions must be met by the interpreter in this millennium, both from the mental aspect (personality) and from scientific capacity. This research was conducted using comparative methods and data analysis with theory Socrates dialectic. A number of findings from this study included: first, differences in the determination of the conditions that must be fulfilled by the mufassir, among ulama actually constitute a form of ijtihad and the prudence of previous scholars, and are not an absolute requirement that cannot be contested, and can change according to the conditions. Secondly, there are six mental conditions that have to be universally interpreted, namely: true aqeedah, clean from lust, good intentions and true goals, obedience and practice of knowledge, holding fast to the sunnah, exerting energy to learn or equipping yourself with science, while the memorization of the Qur’an is a temporal and flexible requirement. Third, the scientific qualifications of the universal interpreter should master a number of the following scientific disciplines, namely: the science of Arabic, ulum alQur’an, ulum al-hadis. In addition, supporting knowledge is needed such as medical science related to verses concerning the medical field, astronomy related to astrology verses, and other sciences, all of which are local, temporal and flexible.","container-title":"QOF","DOI":"10.30762/qof.v2i2.557","ISSN":"2614-4875, 2598-5817","issue":"2","journalAbbreviation":"qof","language":"id","license":"https://creativecommons.org/licenses/by/4.0","page":"187-201","source":"DOI.org (Crossref)","title":"TELAAH KRITIS SYARAT MUFASSIR ABAD KE-20","volume":"2","author":[{"family":"Masrur","given":"Imam"}],"issued":{"date-parts":[["2018",12,15]]}}}],"schema":"https://github.com/citation-style-language/schema/raw/master/csl-citation.json"} </w:instrText>
      </w:r>
      <w:r>
        <w:rPr>
          <w:rFonts w:ascii="Bookman Old Style" w:hAnsi="Bookman Old Style"/>
        </w:rPr>
        <w:fldChar w:fldCharType="separate"/>
      </w:r>
      <w:r>
        <w:rPr>
          <w:rFonts w:ascii="Bookman Old Style" w:hAnsi="Bookman Old Style"/>
        </w:rPr>
        <w:t xml:space="preserve">Imam Masrur, “TELAAH KRITIS SYARAT MUFASSIR ABAD KE-20,” </w:t>
      </w:r>
      <w:r>
        <w:rPr>
          <w:rFonts w:ascii="Bookman Old Style" w:hAnsi="Bookman Old Style"/>
          <w:i/>
          <w:iCs/>
        </w:rPr>
        <w:t>QOF</w:t>
      </w:r>
      <w:r>
        <w:rPr>
          <w:rFonts w:ascii="Bookman Old Style" w:hAnsi="Bookman Old Style"/>
        </w:rPr>
        <w:t>, vol.2, no. 2 (15 Desember 2018):hlm.  187.</w:t>
      </w:r>
      <w:r>
        <w:rPr>
          <w:rFonts w:ascii="Bookman Old Style" w:hAnsi="Bookman Old Style"/>
        </w:rPr>
        <w:fldChar w:fldCharType="end"/>
      </w:r>
    </w:p>
  </w:footnote>
  <w:footnote w:id="2">
    <w:p w14:paraId="710D1C70"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Syamsuri,” Pengantar Qawa’id al-Tafsir, “Sulesana 6, no. 2 (2011): hlm. 91.</w:t>
      </w:r>
    </w:p>
  </w:footnote>
  <w:footnote w:id="3">
    <w:p w14:paraId="1F08F185"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Khalid bin „Utsmān as-Sabt, Qawā’id al-Tafsĭr: Jam’an wa Dirāsatan, Jilid 1 (Riyadh: Dar ibn ‘Affan, 1421 H), hlm. 485.</w:t>
      </w:r>
    </w:p>
  </w:footnote>
  <w:footnote w:id="4">
    <w:p w14:paraId="35264678" w14:textId="77777777" w:rsidR="00EA18CA" w:rsidRDefault="00EA18CA" w:rsidP="00EA18CA">
      <w:pPr>
        <w:pStyle w:val="FootnoteText"/>
        <w:rPr>
          <w:rFonts w:ascii="Bookman Old Style" w:hAnsi="Bookman Old Style"/>
        </w:rPr>
      </w:pPr>
      <w:r>
        <w:rPr>
          <w:rStyle w:val="FootnoteReference"/>
          <w:rFonts w:ascii="Bookman Old Style" w:hAnsi="Bookman Old Style"/>
        </w:rPr>
        <w:footnoteRef/>
      </w:r>
      <w:r>
        <w:rPr>
          <w:rFonts w:ascii="Bookman Old Style" w:hAnsi="Bookman Old Style"/>
        </w:rPr>
        <w:t xml:space="preserve">Ibid. </w:t>
      </w:r>
    </w:p>
  </w:footnote>
  <w:footnote w:id="5">
    <w:p w14:paraId="186A4A8E"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w:t>
      </w:r>
      <w:r>
        <w:rPr>
          <w:rFonts w:ascii="Bookman Old Style" w:hAnsi="Bookman Old Style"/>
        </w:rPr>
        <w:fldChar w:fldCharType="begin"/>
      </w:r>
      <w:r>
        <w:rPr>
          <w:rFonts w:ascii="Bookman Old Style" w:hAnsi="Bookman Old Style"/>
        </w:rPr>
        <w:instrText xml:space="preserve"> ADDIN ZOTERO_ITEM CSL_CITATION {"citationID":"vQXeuvRH","properties":{"formattedCitation":"Asep Rahmat dan Fajar Hamdani Akbar, \\uc0\\u8220{}Kajian Analitik dan Epistemik Terhadap Corak Lughaw\\uc0\\u299{} dan Kecenderungan I\\uc0\\u8217{}tiz\\uc0\\u257{}li Tafsir Al-Kasysy\\uc0\\u257{}f,\\uc0\\u8221{} vol.1, no. 1 (2021).","plainCitation":"Asep Rahmat dan Fajar Hamdani Akbar, “Kajian Analitik dan Epistemik Terhadap Corak Lughawī dan Kecenderungan I’tizāli Tafsir Al-Kasysyāf,” vol.1, no. 1 (2021).","noteIndex":4},"citationItems":[{"id":253,"uris":["http://zotero.org/users/local/PTdFmusP/items/NJR86N4U"],"itemData":{"id":253,"type":"article-journal","abstract":"This study aims to elaborate the specific methodology of al-Kasysyaf interpretation by al-Zamakhsyari, seen from the aspects of lughawī style and its tendency towards Mu'tazilah schools of thought. The data collection technique used in this study is a library research or book survey. The data is processed using qualitative methods, namely processing data based on the values contained in each information. Gadamer's Fusion of horizons theory is used to reveal the relationship between the historical setting and the ideas being discouraged. In terms of methodology, Al-Kasysyaf's interpretation uses the tahlīlī method, sourced bi al-ra'yi, the tendency towards Mu'tazilah and its style lughawī (language). The results showed a unique characteristic not shared by other interpreters, namely the tendency to interpret the lughawī style and the Mu'tazilah school of thought was so strong. This is evidenced by (1) making the media of linguistic meaning within the framework of defending schools of thought, (2) prioritizing the discussion of the urgency of the Al-Quran balaghah, (3) holding on to the authenticity of the metaphoric meaning and making the media resemble and depictions in something that is far from the sense of the zahir, ( 4) Basing on the interpretation with the school of thought, even though it is contradictory to the editorial (al-nash) of the Qur'an, (5) Basing the position of the great sinner with his Mu'tazilite understanding.","issue":"1","language":"id","source":"Zotero","title":"Kajian Analitik dan Epistemik Terhadap Corak Lughawī dan Kecenderungan I’tizāli Tafsir Al-Kasysyāf","volume":"1","author":[{"family":"Rahmat","given":"Asep"},{"family":"Akbar","given":"Fajar Hamdani"}],"issued":{"date-parts":[["2021"]]}}}],"schema":"https://github.com/citation-style-language/schema/raw/master/csl-citation.json"} </w:instrText>
      </w:r>
      <w:r>
        <w:rPr>
          <w:rFonts w:ascii="Bookman Old Style" w:hAnsi="Bookman Old Style"/>
        </w:rPr>
        <w:fldChar w:fldCharType="separate"/>
      </w:r>
      <w:r>
        <w:rPr>
          <w:rFonts w:ascii="Bookman Old Style" w:hAnsi="Bookman Old Style"/>
        </w:rPr>
        <w:t>Asep Rahmat dan Fajar Hamdani Akbar, “Kajian Analitik dan Epistemik Terhadap Corak Lughawī dan Kecenderungan I’tizāli Tafsir Al-Kasysyāf,” vol.1, no. 1 (2021).</w:t>
      </w:r>
      <w:r>
        <w:rPr>
          <w:rFonts w:ascii="Bookman Old Style" w:hAnsi="Bookman Old Style"/>
        </w:rPr>
        <w:fldChar w:fldCharType="end"/>
      </w:r>
    </w:p>
  </w:footnote>
  <w:footnote w:id="6">
    <w:p w14:paraId="40BADEB6"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w:t>
      </w:r>
      <w:r>
        <w:rPr>
          <w:rFonts w:ascii="Bookman Old Style" w:hAnsi="Bookman Old Style"/>
        </w:rPr>
        <w:fldChar w:fldCharType="begin"/>
      </w:r>
      <w:r>
        <w:rPr>
          <w:rFonts w:ascii="Bookman Old Style" w:hAnsi="Bookman Old Style"/>
        </w:rPr>
        <w:instrText xml:space="preserve"> ADDIN ZOTERO_ITEM CSL_CITATION {"citationID":"k9PRSxxk","properties":{"formattedCitation":"Syamsu Syauqani, \\uc0\\u8220{}Analisa Tafsir Al-Munir Karya Syekh Wahbah Az-Zuhaili Yang Memiliki Pendekatan Komprehensif Dalam Penafsiran Al-Qur\\uc0\\u8217{}an\\uc0\\u8221{} (2025).","plainCitation":"Syamsu Syauqani, “Analisa Tafsir Al-Munir Karya Syekh Wahbah Az-Zuhaili Yang Memiliki Pendekatan Komprehensif Dalam Penafsiran Al-Qur’an” (2025).","noteIndex":5},"citationItems":[{"id":255,"uris":["http://zotero.org/users/local/PTdFmusP/items/6IFBIZ6L"],"itemData":{"id":255,"type":"article-journal","abstract":"Tafsir al-Munir karya Syekh Wahbah AzZuhaili merupakan salah satu karya tafsir kontemporer yang dikenal dengan pendekatannya yang komprehensif dalam menafsirkan al-Qur'an. Dalam karyanya ini, Az-Zuhaili tidak hanya mengandalkan pendekatan tekstual semata, tetapi juga mengintegrasikan berbagai metode tafsir, termasuk tafsir bi al-ma’tsûr, tafsir tahlili, dan tafsir mawdhû’i. Pendekatan komprehensif ini memungkinkan pemahaman yang lebih mendalam dan luas terhadap makna ayat-ayat al-Qur'an, dengan mengaitkan konteks historis, sosial, dan hukum yang relevan. Az-Zuhaili juga memberikan perhatian khusus terhadap hukum-hukum Islam yang terkandung dalam al-Qur'an dan penerapannya dalam kehidupan kontemporer. Melalui analisis terhadap kisah-kisah para nabi, seperti Nabi Adam, Nabi Nuh, dan Nabi Ibrahim, serta aspek-aspek sosial, politik, dan spiritual dalam ajaran Islam, AzZuhaili menawarkan tafsir yang holistik dan aplikatif. Karyanya ini menjadi penting untuk memperkaya wawasan tafsir yang mengarah pada pemahaman yang lebih kontekstual, relevan dengan perkembangan zaman, dan menginspirasi umat Islam untuk menerapkan ajaran al-Qur'an dalam berbagai aspek kehidupan.","language":"id","source":"Zotero","title":"Analisa Tafsir Al-Munir Karya Syekh Wahbah Az-Zuhaili Yang Memiliki Pendekatan Komprehensif Dalam Penafsiran Al-Qur’an","author":[{"family":"Syauqani","given":"Syamsu"}],"issued":{"date-parts":[["2025"]]}}}],"schema":"https://github.com/citation-style-language/schema/raw/master/csl-citation.json"} </w:instrText>
      </w:r>
      <w:r>
        <w:rPr>
          <w:rFonts w:ascii="Bookman Old Style" w:hAnsi="Bookman Old Style"/>
        </w:rPr>
        <w:fldChar w:fldCharType="separate"/>
      </w:r>
      <w:r>
        <w:rPr>
          <w:rFonts w:ascii="Bookman Old Style" w:hAnsi="Bookman Old Style"/>
        </w:rPr>
        <w:t>Syamsu Syauqani, “Analisa Tafsir Al-Munir Karya Syekh Wahbah Az-Zuhaili Yang Memiliki Pendekatan Komprehensif Dalam Penafsiran Al-Qur’an” (2025).</w:t>
      </w:r>
      <w:r>
        <w:rPr>
          <w:rFonts w:ascii="Bookman Old Style" w:hAnsi="Bookman Old Style"/>
        </w:rPr>
        <w:fldChar w:fldCharType="end"/>
      </w:r>
    </w:p>
  </w:footnote>
  <w:footnote w:id="7">
    <w:p w14:paraId="5BFEBDA3" w14:textId="77777777" w:rsidR="00EA18CA" w:rsidRDefault="00EA18CA" w:rsidP="00EA18CA">
      <w:pPr>
        <w:pStyle w:val="FootnoteText"/>
        <w:rPr>
          <w:rFonts w:ascii="Bookman Old Style" w:hAnsi="Bookman Old Style"/>
        </w:rPr>
      </w:pPr>
      <w:r>
        <w:rPr>
          <w:rStyle w:val="FootnoteReference"/>
          <w:rFonts w:ascii="Bookman Old Style" w:hAnsi="Bookman Old Style"/>
        </w:rPr>
        <w:footnoteRef/>
      </w:r>
      <w:r>
        <w:rPr>
          <w:rFonts w:ascii="Bookman Old Style" w:hAnsi="Bookman Old Style"/>
        </w:rPr>
        <w:t xml:space="preserve"> Ibid.</w:t>
      </w:r>
    </w:p>
  </w:footnote>
  <w:footnote w:id="8">
    <w:p w14:paraId="3715CB63" w14:textId="77777777" w:rsidR="00EA18CA" w:rsidRDefault="00EA18CA" w:rsidP="00EA18CA">
      <w:pPr>
        <w:pStyle w:val="FootnoteText"/>
        <w:jc w:val="both"/>
        <w:rPr>
          <w:rFonts w:ascii="Bookman Old Style" w:hAnsi="Bookman Old Style" w:cs="Calibri"/>
          <w:lang w:eastAsia="en-ID"/>
        </w:rPr>
      </w:pPr>
      <w:r>
        <w:rPr>
          <w:rStyle w:val="FootnoteReference"/>
          <w:rFonts w:ascii="Bookman Old Style" w:hAnsi="Bookman Old Style"/>
        </w:rPr>
        <w:footnoteRef/>
      </w:r>
      <w:r>
        <w:rPr>
          <w:rFonts w:ascii="Bookman Old Style" w:hAnsi="Bookman Old Style"/>
        </w:rPr>
        <w:t xml:space="preserve"> </w:t>
      </w:r>
      <w:r>
        <w:rPr>
          <w:rFonts w:ascii="Bookman Old Style" w:hAnsi="Bookman Old Style"/>
        </w:rPr>
        <w:fldChar w:fldCharType="begin"/>
      </w:r>
      <w:r>
        <w:rPr>
          <w:rFonts w:ascii="Bookman Old Style" w:hAnsi="Bookman Old Style"/>
        </w:rPr>
        <w:instrText xml:space="preserve"> ADDIN ZOTERO_ITEM CSL_CITATION {"citationID":"URiQb6nX","properties":{"formattedCitation":"Fahriana Nurrisa dan Dina Hermina, \\uc0\\u8220{}Pendekatan Kualitatif dalam Penelitian: Strategi, Tahapan, dan Analisis Data,\\uc0\\u8221{} vol.02, no. 03 (2025).","plainCitation":"Fahriana Nurrisa dan Dina Hermina, “Pendekatan Kualitatif dalam Penelitian: Strategi, Tahapan, dan Analisis Data,” vol.02, no. 03 (2025).","noteIndex":6},"citationItems":[{"id":257,"uris":["http://zotero.org/users/local/PTdFmusP/items/JE8JAUFV"],"itemData":{"id":257,"type":"article-journal","abstract":"This study aims to explore qualitative approaches in educational research, focusing on strategies, techniques, and data analysis used. The method applied in this study is library research, which involves the collection and analysis of literature related to qualitative research methods. The results show that qualitative methods have unique characteristics, such as the use of natural settings, descriptive data collection, and emphasis on meaning rather than generalization. Various types of qualitative methods, such as ethnography, grounded theory, case studies, phenomenology, and narrative, are identified as strategies that can be used to understand social phenomena in depth. In addition, the stages in qualitative research include preparation, data collection, and analysis of inductive data. This study also highlights the importance of ethics in qualitative research and provides guidance for researchers to implement these methods effectively. Thus, this study provides a deeper insight into qualitative approaches and their application in the context of educational research.","issue":"03","language":"id","source":"Zotero","title":"Pendekatan Kualitatif dalam Penelitian: Strategi, Tahapan, dan Analisis Data","volume":"02","author":[{"family":"Nurrisa","given":"Fahriana"},{"family":"Hermina","given":"Dina"}],"issued":{"date-parts":[["2025"]]}}}],"schema":"https://github.com/citation-style-language/schema/raw/master/csl-citation.json"} </w:instrText>
      </w:r>
      <w:r>
        <w:rPr>
          <w:rFonts w:ascii="Bookman Old Style" w:hAnsi="Bookman Old Style"/>
        </w:rPr>
        <w:fldChar w:fldCharType="separate"/>
      </w:r>
      <w:r>
        <w:rPr>
          <w:rFonts w:ascii="Bookman Old Style" w:hAnsi="Bookman Old Style"/>
        </w:rPr>
        <w:t>Fahriana Nurrisa dan Dina Hermina, “Pendekatan Kualitatif dalam Penelitian: Strategi, Tahapan, dan Analisis Data,” vol.02, no. 03 (2025).</w:t>
      </w:r>
      <w:r>
        <w:rPr>
          <w:rFonts w:ascii="Bookman Old Style" w:hAnsi="Bookman Old Style"/>
        </w:rPr>
        <w:fldChar w:fldCharType="end"/>
      </w:r>
    </w:p>
  </w:footnote>
  <w:footnote w:id="9">
    <w:p w14:paraId="5A286211"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Sugiyono, </w:t>
      </w:r>
      <w:r>
        <w:rPr>
          <w:rFonts w:ascii="Bookman Old Style" w:hAnsi="Bookman Old Style"/>
          <w:i/>
          <w:iCs/>
        </w:rPr>
        <w:t xml:space="preserve">Metode Penelitian Kuantatif, Kualitatif, dan R&amp;D </w:t>
      </w:r>
      <w:r>
        <w:rPr>
          <w:rFonts w:ascii="Bookman Old Style" w:hAnsi="Bookman Old Style"/>
        </w:rPr>
        <w:t>(Bandung: Alfabeta, 2017), hlm. 147.</w:t>
      </w:r>
    </w:p>
  </w:footnote>
  <w:footnote w:id="10">
    <w:p w14:paraId="479BD63E" w14:textId="77777777" w:rsidR="00EA18CA" w:rsidRDefault="00EA18CA" w:rsidP="00EA18CA">
      <w:pPr>
        <w:pStyle w:val="FootnoteText"/>
        <w:rPr>
          <w:rFonts w:ascii="Bookman Old Style" w:hAnsi="Bookman Old Style" w:cs="Calibri"/>
          <w:lang w:eastAsia="en-ID"/>
        </w:rPr>
      </w:pPr>
      <w:r>
        <w:rPr>
          <w:rStyle w:val="FootnoteReference"/>
          <w:rFonts w:ascii="Bookman Old Style" w:hAnsi="Bookman Old Style"/>
        </w:rPr>
        <w:footnoteRef/>
      </w:r>
      <w:r>
        <w:rPr>
          <w:rFonts w:ascii="Bookman Old Style" w:hAnsi="Bookman Old Style"/>
        </w:rPr>
        <w:t xml:space="preserve"> Khalid bin 'Utsmān as-Sabt, </w:t>
      </w:r>
      <w:r>
        <w:rPr>
          <w:rFonts w:ascii="Bookman Old Style" w:hAnsi="Bookman Old Style"/>
          <w:i/>
          <w:iCs/>
        </w:rPr>
        <w:t>Qawā'id al-Tafsīr</w:t>
      </w:r>
      <w:r>
        <w:rPr>
          <w:rFonts w:ascii="Bookman Old Style" w:hAnsi="Bookman Old Style"/>
        </w:rPr>
        <w:t>, Jilid I, hlm. 387–396.</w:t>
      </w:r>
    </w:p>
  </w:footnote>
  <w:footnote w:id="11">
    <w:p w14:paraId="4076D8C6" w14:textId="77777777" w:rsidR="00EA18CA" w:rsidRDefault="00EA18CA" w:rsidP="00EA18CA">
      <w:pPr>
        <w:pStyle w:val="FootnoteText"/>
        <w:rPr>
          <w:rFonts w:ascii="Bookman Old Style" w:hAnsi="Bookman Old Style"/>
        </w:rPr>
      </w:pPr>
      <w:r>
        <w:rPr>
          <w:rStyle w:val="FootnoteReference"/>
          <w:rFonts w:ascii="Bookman Old Style" w:hAnsi="Bookman Old Style"/>
        </w:rPr>
        <w:footnoteRef/>
      </w:r>
      <w:r>
        <w:rPr>
          <w:rFonts w:ascii="Bookman Old Style" w:hAnsi="Bookman Old Style"/>
        </w:rPr>
        <w:t xml:space="preserve"> Ibn Hishām al-An</w:t>
      </w:r>
      <w:r>
        <w:rPr>
          <w:rFonts w:ascii="Cambria" w:hAnsi="Cambria" w:cs="Cambria"/>
        </w:rPr>
        <w:t>ṣ</w:t>
      </w:r>
      <w:r>
        <w:rPr>
          <w:rFonts w:ascii="Bookman Old Style" w:hAnsi="Bookman Old Style"/>
        </w:rPr>
        <w:t xml:space="preserve">ārī, </w:t>
      </w:r>
      <w:r>
        <w:rPr>
          <w:rFonts w:ascii="Bookman Old Style" w:hAnsi="Bookman Old Style"/>
          <w:i/>
          <w:iCs/>
        </w:rPr>
        <w:t>Shar</w:t>
      </w:r>
      <w:r>
        <w:rPr>
          <w:rFonts w:ascii="Cambria" w:hAnsi="Cambria" w:cs="Cambria"/>
          <w:i/>
          <w:iCs/>
        </w:rPr>
        <w:t>ḥ</w:t>
      </w:r>
      <w:r>
        <w:rPr>
          <w:rFonts w:ascii="Bookman Old Style" w:hAnsi="Bookman Old Style"/>
          <w:i/>
          <w:iCs/>
        </w:rPr>
        <w:t xml:space="preserve"> Qa</w:t>
      </w:r>
      <w:r>
        <w:rPr>
          <w:rFonts w:ascii="Cambria" w:hAnsi="Cambria" w:cs="Cambria"/>
          <w:i/>
          <w:iCs/>
        </w:rPr>
        <w:t>ṭ</w:t>
      </w:r>
      <w:r>
        <w:rPr>
          <w:rFonts w:ascii="Bookman Old Style" w:hAnsi="Bookman Old Style"/>
          <w:i/>
          <w:iCs/>
        </w:rPr>
        <w:t>r al-Nadā wa Ball al-</w:t>
      </w:r>
      <w:r>
        <w:rPr>
          <w:rFonts w:ascii="Cambria" w:hAnsi="Cambria" w:cs="Cambria"/>
          <w:i/>
          <w:iCs/>
        </w:rPr>
        <w:t>Ṣ</w:t>
      </w:r>
      <w:r>
        <w:rPr>
          <w:rFonts w:ascii="Bookman Old Style" w:hAnsi="Bookman Old Style"/>
          <w:i/>
          <w:iCs/>
        </w:rPr>
        <w:t>adā</w:t>
      </w:r>
      <w:r>
        <w:rPr>
          <w:rFonts w:ascii="Bookman Old Style" w:hAnsi="Bookman Old Style"/>
        </w:rPr>
        <w:t>, hlm. 311–315.</w:t>
      </w:r>
    </w:p>
  </w:footnote>
  <w:footnote w:id="12">
    <w:p w14:paraId="2A66EC03" w14:textId="77777777" w:rsidR="00EA18CA" w:rsidRDefault="00EA18CA" w:rsidP="00EA18CA">
      <w:pPr>
        <w:pStyle w:val="FootnoteText"/>
        <w:rPr>
          <w:rFonts w:ascii="Bookman Old Style" w:hAnsi="Bookman Old Style"/>
        </w:rPr>
      </w:pPr>
      <w:r>
        <w:rPr>
          <w:rStyle w:val="FootnoteReference"/>
          <w:rFonts w:ascii="Bookman Old Style" w:hAnsi="Bookman Old Style"/>
        </w:rPr>
        <w:footnoteRef/>
      </w:r>
      <w:r>
        <w:rPr>
          <w:rFonts w:ascii="Bookman Old Style" w:hAnsi="Bookman Old Style"/>
        </w:rPr>
        <w:t xml:space="preserve"> </w:t>
      </w:r>
      <w:bookmarkStart w:id="0" w:name="_Hlk226830716"/>
      <w:r>
        <w:rPr>
          <w:rFonts w:ascii="Bookman Old Style" w:hAnsi="Bookman Old Style"/>
        </w:rPr>
        <w:t xml:space="preserve">Khalid bin 'Utsmān as-Sabt, </w:t>
      </w:r>
      <w:r>
        <w:rPr>
          <w:rFonts w:ascii="Bookman Old Style" w:hAnsi="Bookman Old Style"/>
          <w:i/>
          <w:iCs/>
        </w:rPr>
        <w:t>Qawā'id al-Tafsīr Jam'an wa Dirāsatan</w:t>
      </w:r>
      <w:r>
        <w:rPr>
          <w:rFonts w:ascii="Bookman Old Style" w:hAnsi="Bookman Old Style"/>
        </w:rPr>
        <w:t>, Jilid I (Riyadh: Dār Ibn 'Affān, 1421 H), hlm. 387–396.</w:t>
      </w:r>
      <w:bookmarkEnd w:id="0"/>
    </w:p>
  </w:footnote>
  <w:footnote w:id="13">
    <w:p w14:paraId="4978FEE3" w14:textId="77777777" w:rsidR="00EA18CA" w:rsidRDefault="00EA18CA" w:rsidP="00EA18CA">
      <w:pPr>
        <w:pStyle w:val="FootnoteText"/>
        <w:rPr>
          <w:rFonts w:ascii="Bookman Old Style" w:hAnsi="Bookman Old Style"/>
        </w:rPr>
      </w:pPr>
      <w:r>
        <w:rPr>
          <w:rStyle w:val="FootnoteReference"/>
          <w:rFonts w:ascii="Bookman Old Style" w:hAnsi="Bookman Old Style"/>
        </w:rPr>
        <w:footnoteRef/>
      </w:r>
      <w:r>
        <w:rPr>
          <w:rFonts w:ascii="Bookman Old Style" w:hAnsi="Bookman Old Style"/>
        </w:rPr>
        <w:t xml:space="preserve"> Khalid bin 'Utsmān as-Sabt, </w:t>
      </w:r>
      <w:r>
        <w:rPr>
          <w:rFonts w:ascii="Bookman Old Style" w:hAnsi="Bookman Old Style"/>
          <w:i/>
          <w:iCs/>
        </w:rPr>
        <w:t>Qawā'id al-Tafsīr</w:t>
      </w:r>
      <w:r>
        <w:rPr>
          <w:rFonts w:ascii="Bookman Old Style" w:hAnsi="Bookman Old Style"/>
        </w:rPr>
        <w:t>, Jilid I, hlm. 389–395.</w:t>
      </w:r>
    </w:p>
  </w:footnote>
  <w:footnote w:id="14">
    <w:p w14:paraId="41D73576"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Kementrian Agama Republik Indonesia, </w:t>
      </w:r>
      <w:r>
        <w:rPr>
          <w:rFonts w:ascii="Bookman Old Style" w:hAnsi="Bookman Old Style"/>
          <w:i/>
          <w:iCs/>
        </w:rPr>
        <w:t xml:space="preserve">Al-Qur’an dan Terjemahannya </w:t>
      </w:r>
      <w:r>
        <w:rPr>
          <w:rFonts w:ascii="Bookman Old Style" w:hAnsi="Bookman Old Style"/>
        </w:rPr>
        <w:t>(Jakarta: Kementerian Agama RI, 2019) hlm. 3.</w:t>
      </w:r>
    </w:p>
  </w:footnote>
  <w:footnote w:id="15">
    <w:p w14:paraId="782AD864"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Penalaran berdasarkan kaidah al-wasfu dalam Qawaid Tafsir.</w:t>
      </w:r>
    </w:p>
  </w:footnote>
  <w:footnote w:id="16">
    <w:p w14:paraId="1EBC5D15"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Penalaran berdasarkan kaidah al-wasf dalam Qawaid tafsir terhadap QS. Al-Baqarah:2</w:t>
      </w:r>
    </w:p>
  </w:footnote>
  <w:footnote w:id="17">
    <w:p w14:paraId="3B4B9FB5"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w:t>
      </w:r>
      <w:r>
        <w:rPr>
          <w:rFonts w:ascii="Bookman Old Style" w:hAnsi="Bookman Old Style"/>
        </w:rPr>
        <w:fldChar w:fldCharType="begin"/>
      </w:r>
      <w:r>
        <w:rPr>
          <w:rFonts w:ascii="Bookman Old Style" w:hAnsi="Bookman Old Style"/>
        </w:rPr>
        <w:instrText xml:space="preserve"> ADDIN ZOTERO_ITEM CSL_CITATION {"citationID":"2uAvhmpC","properties":{"formattedCitation":"Syihabuddin Qalyubi, \\uc0\\u8220{}Tafsir Al-Qur\\uc0\\u8217{}an Corak Kebahasaan Kajian Awal tentang Tafsir al-Kasysyaf\\uc0\\u8221{} (t.t.).","plainCitation":"Syihabuddin Qalyubi, “Tafsir Al-Qur’an Corak Kebahasaan Kajian Awal tentang Tafsir al-Kasysyaf” (t.t.).","noteIndex":12},"citationItems":[{"id":260,"uris":["http://zotero.org/users/local/PTdFmusP/items/GLMCRT6K"],"itemData":{"id":260,"type":"article-journal","language":"id","source":"Zotero","title":"Tafsir Al-Qur'an Corak Kebahasaan Kajian Awal tentang Tafsir al-Kasysyaf","author":[{"family":"Qalyubi","given":"Syihabuddin"}]}}],"schema":"https://github.com/citation-style-language/schema/raw/master/csl-citation.json"} </w:instrText>
      </w:r>
      <w:r>
        <w:rPr>
          <w:rFonts w:ascii="Bookman Old Style" w:hAnsi="Bookman Old Style"/>
        </w:rPr>
        <w:fldChar w:fldCharType="separate"/>
      </w:r>
      <w:r>
        <w:rPr>
          <w:rFonts w:ascii="Bookman Old Style" w:hAnsi="Bookman Old Style"/>
        </w:rPr>
        <w:t>Syihabuddin Qalyubi, “Tafsir Al-Qur’an Corak Kebahasaan Kajian Awal tentang Tafsir al-Kasysyaf” (t.t.).</w:t>
      </w:r>
      <w:r>
        <w:rPr>
          <w:rFonts w:ascii="Bookman Old Style" w:hAnsi="Bookman Old Style"/>
        </w:rPr>
        <w:fldChar w:fldCharType="end"/>
      </w:r>
    </w:p>
  </w:footnote>
  <w:footnote w:id="18">
    <w:p w14:paraId="5F3ABB9E"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Frimansyah dan Syahri Wahyuni, </w:t>
      </w:r>
      <w:r>
        <w:rPr>
          <w:rFonts w:ascii="Bookman Old Style" w:hAnsi="Bookman Old Style"/>
          <w:i/>
          <w:iCs/>
        </w:rPr>
        <w:t xml:space="preserve">Tafsir Al-Kasyaf: Al-Fatihah dan Al-Baqarah ayat 1-5 </w:t>
      </w:r>
      <w:r>
        <w:rPr>
          <w:rFonts w:ascii="Bookman Old Style" w:hAnsi="Bookman Old Style"/>
        </w:rPr>
        <w:t xml:space="preserve">(Sengkang: Universitas Islam As’adiyah (UNISAD), 2025) hlm. 1. </w:t>
      </w:r>
    </w:p>
    <w:p w14:paraId="6B3C8692" w14:textId="77777777" w:rsidR="00EA18CA" w:rsidRDefault="00EA18CA" w:rsidP="00EA18CA">
      <w:pPr>
        <w:pStyle w:val="FootnoteText"/>
        <w:jc w:val="both"/>
        <w:rPr>
          <w:rFonts w:ascii="Bookman Old Style" w:hAnsi="Bookman Old Style"/>
        </w:rPr>
      </w:pPr>
      <w:r>
        <w:rPr>
          <w:rFonts w:ascii="Bookman Old Style" w:hAnsi="Bookman Old Style"/>
        </w:rPr>
        <w:t>Diakses melalui Scribd, 10 April 2026.</w:t>
      </w:r>
    </w:p>
  </w:footnote>
  <w:footnote w:id="19">
    <w:p w14:paraId="0C0377A4" w14:textId="77777777" w:rsidR="00EA18CA" w:rsidRDefault="00EA18CA" w:rsidP="00EA18CA">
      <w:pPr>
        <w:pStyle w:val="FootnoteText"/>
        <w:rPr>
          <w:rFonts w:ascii="Bookman Old Style" w:hAnsi="Bookman Old Style"/>
        </w:rPr>
      </w:pPr>
      <w:r>
        <w:rPr>
          <w:rStyle w:val="FootnoteReference"/>
          <w:rFonts w:ascii="Bookman Old Style" w:hAnsi="Bookman Old Style"/>
        </w:rPr>
        <w:footnoteRef/>
      </w:r>
      <w:r>
        <w:rPr>
          <w:rFonts w:ascii="Bookman Old Style" w:hAnsi="Bookman Old Style"/>
        </w:rPr>
        <w:t xml:space="preserve"> Ibid.</w:t>
      </w:r>
    </w:p>
  </w:footnote>
  <w:footnote w:id="20">
    <w:p w14:paraId="7C1197EE"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Mabrur, “ Moserasi Al-Qur’an dan Penafsiran Kontemporer: Analisis Pemikiran Wahbah Zuhaili dan Relevansinya dalam Konteks Indonesia Modern, “Mumtaz Vol. 1, No.2 (2017) hlm. 31. </w:t>
      </w:r>
    </w:p>
  </w:footnote>
  <w:footnote w:id="21">
    <w:p w14:paraId="49FE7EFF"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w:t>
      </w:r>
      <w:bookmarkStart w:id="1" w:name="_Hlk226830682"/>
      <w:r>
        <w:rPr>
          <w:rFonts w:ascii="Bookman Old Style" w:hAnsi="Bookman Old Style"/>
        </w:rPr>
        <w:t xml:space="preserve">Wahbah Az-Zuhaili, </w:t>
      </w:r>
      <w:r>
        <w:rPr>
          <w:rFonts w:ascii="Bookman Old Style" w:hAnsi="Bookman Old Style"/>
          <w:i/>
          <w:iCs/>
        </w:rPr>
        <w:t xml:space="preserve">Tafsir Al-Munir fi al-Aqidah wa Al-Shari’ah wa Al-Manhaj, Jilid 1 (Damaskus: Dar al-Fikr, </w:t>
      </w:r>
      <w:r>
        <w:rPr>
          <w:rFonts w:ascii="Bookman Old Style" w:hAnsi="Bookman Old Style"/>
        </w:rPr>
        <w:t>2009) hlm. 47-49.</w:t>
      </w:r>
      <w:bookmarkEnd w:id="1"/>
    </w:p>
  </w:footnote>
  <w:footnote w:id="22">
    <w:p w14:paraId="435AC817" w14:textId="77777777" w:rsidR="00EA18CA" w:rsidRDefault="00EA18CA" w:rsidP="00EA18CA">
      <w:pPr>
        <w:pStyle w:val="FootnoteText"/>
        <w:rPr>
          <w:rFonts w:ascii="Bookman Old Style" w:hAnsi="Bookman Old Style"/>
        </w:rPr>
      </w:pPr>
      <w:r>
        <w:rPr>
          <w:rStyle w:val="FootnoteReference"/>
          <w:rFonts w:ascii="Bookman Old Style" w:hAnsi="Bookman Old Style"/>
        </w:rPr>
        <w:footnoteRef/>
      </w:r>
      <w:r>
        <w:rPr>
          <w:rFonts w:ascii="Bookman Old Style" w:hAnsi="Bookman Old Style"/>
        </w:rPr>
        <w:t xml:space="preserve"> Wahbah az-Zu</w:t>
      </w:r>
      <w:r>
        <w:rPr>
          <w:rFonts w:ascii="Cambria" w:hAnsi="Cambria" w:cs="Cambria"/>
        </w:rPr>
        <w:t>ḥ</w:t>
      </w:r>
      <w:r>
        <w:rPr>
          <w:rFonts w:ascii="Bookman Old Style" w:hAnsi="Bookman Old Style"/>
        </w:rPr>
        <w:t xml:space="preserve">ailī, </w:t>
      </w:r>
      <w:r>
        <w:rPr>
          <w:rFonts w:ascii="Bookman Old Style" w:hAnsi="Bookman Old Style"/>
          <w:i/>
          <w:iCs/>
        </w:rPr>
        <w:t>Tafsīr al-Munīr fī al-'Aqīdah wa al-Sharī'ah wa al-Manhaj</w:t>
      </w:r>
      <w:r>
        <w:rPr>
          <w:rFonts w:ascii="Bookman Old Style" w:hAnsi="Bookman Old Style"/>
        </w:rPr>
        <w:t>, Jilid I (Damaskus: Dār al-Fikr, 2009), hlm. 57–58.</w:t>
      </w:r>
    </w:p>
  </w:footnote>
  <w:footnote w:id="23">
    <w:p w14:paraId="0CBAF0D4" w14:textId="77777777" w:rsidR="00EA18CA" w:rsidRDefault="00EA18CA" w:rsidP="00EA18CA">
      <w:pPr>
        <w:pStyle w:val="FootnoteText"/>
        <w:jc w:val="both"/>
        <w:rPr>
          <w:rFonts w:ascii="Bookman Old Style" w:hAnsi="Bookman Old Style"/>
        </w:rPr>
      </w:pPr>
      <w:r>
        <w:rPr>
          <w:rStyle w:val="FootnoteReference"/>
          <w:rFonts w:ascii="Bookman Old Style" w:hAnsi="Bookman Old Style"/>
        </w:rPr>
        <w:footnoteRef/>
      </w:r>
      <w:r>
        <w:rPr>
          <w:rFonts w:ascii="Bookman Old Style" w:hAnsi="Bookman Old Style"/>
        </w:rPr>
        <w:t xml:space="preserve"> Analisis komparatif penulis berdasarkan data tafsir.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838D" w14:textId="56A7D32A" w:rsidR="003A551B" w:rsidRDefault="00000000">
    <w:pPr>
      <w:pBdr>
        <w:bottom w:val="single" w:sz="6" w:space="4" w:color="000000"/>
      </w:pBdr>
      <w:jc w:val="center"/>
    </w:pPr>
    <w:r>
      <w:rPr>
        <w:i/>
        <w:iCs/>
        <w:sz w:val="18"/>
        <w:szCs w:val="18"/>
      </w:rPr>
      <w:t>AFNAN: Journal of Islamic Studies</w:t>
    </w:r>
    <w:r w:rsidR="00B205B5">
      <w:rPr>
        <w:i/>
        <w:iCs/>
        <w:sz w:val="18"/>
        <w:szCs w:val="18"/>
      </w:rPr>
      <w:t xml:space="preserve">, </w:t>
    </w:r>
    <w:r w:rsidR="00B205B5">
      <w:rPr>
        <w:sz w:val="18"/>
        <w:szCs w:val="18"/>
      </w:rPr>
      <w:t xml:space="preserve">Vol. </w:t>
    </w:r>
    <w:r w:rsidR="00EA18CA">
      <w:rPr>
        <w:sz w:val="18"/>
        <w:szCs w:val="18"/>
      </w:rPr>
      <w:t>1</w:t>
    </w:r>
    <w:r w:rsidR="00B205B5">
      <w:rPr>
        <w:sz w:val="18"/>
        <w:szCs w:val="18"/>
      </w:rPr>
      <w:t xml:space="preserve">, No. </w:t>
    </w:r>
    <w:r w:rsidR="00EA18CA">
      <w:rPr>
        <w:sz w:val="18"/>
        <w:szCs w:val="18"/>
      </w:rPr>
      <w:t>1</w:t>
    </w:r>
    <w:r w:rsidR="00B205B5">
      <w:rPr>
        <w:sz w:val="18"/>
        <w:szCs w:val="18"/>
      </w:rPr>
      <w:t>, [</w:t>
    </w:r>
    <w:r w:rsidR="00EA18CA">
      <w:rPr>
        <w:sz w:val="18"/>
        <w:szCs w:val="18"/>
      </w:rPr>
      <w:t>2026</w:t>
    </w:r>
    <w:r w:rsidR="00B205B5">
      <w:rPr>
        <w:sz w:val="18"/>
        <w:szCs w:val="18"/>
      </w:rPr>
      <w:t>]</w:t>
    </w:r>
    <w:r w:rsidR="00EA18CA">
      <w:rPr>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E3334"/>
    <w:multiLevelType w:val="multilevel"/>
    <w:tmpl w:val="1F2C645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21F3F25"/>
    <w:multiLevelType w:val="hybridMultilevel"/>
    <w:tmpl w:val="559CA03A"/>
    <w:lvl w:ilvl="0" w:tplc="7D4A02DA">
      <w:start w:val="1"/>
      <w:numFmt w:val="bullet"/>
      <w:lvlText w:val="●"/>
      <w:lvlJc w:val="left"/>
      <w:pPr>
        <w:ind w:left="720" w:hanging="360"/>
      </w:pPr>
    </w:lvl>
    <w:lvl w:ilvl="1" w:tplc="BCB4B85A">
      <w:start w:val="1"/>
      <w:numFmt w:val="bullet"/>
      <w:lvlText w:val="○"/>
      <w:lvlJc w:val="left"/>
      <w:pPr>
        <w:ind w:left="1440" w:hanging="360"/>
      </w:pPr>
    </w:lvl>
    <w:lvl w:ilvl="2" w:tplc="FED83DCE">
      <w:start w:val="1"/>
      <w:numFmt w:val="bullet"/>
      <w:lvlText w:val="■"/>
      <w:lvlJc w:val="left"/>
      <w:pPr>
        <w:ind w:left="2160" w:hanging="360"/>
      </w:pPr>
    </w:lvl>
    <w:lvl w:ilvl="3" w:tplc="73561598">
      <w:start w:val="1"/>
      <w:numFmt w:val="bullet"/>
      <w:lvlText w:val="●"/>
      <w:lvlJc w:val="left"/>
      <w:pPr>
        <w:ind w:left="2880" w:hanging="360"/>
      </w:pPr>
    </w:lvl>
    <w:lvl w:ilvl="4" w:tplc="B07E76B8">
      <w:start w:val="1"/>
      <w:numFmt w:val="bullet"/>
      <w:lvlText w:val="○"/>
      <w:lvlJc w:val="left"/>
      <w:pPr>
        <w:ind w:left="3600" w:hanging="360"/>
      </w:pPr>
    </w:lvl>
    <w:lvl w:ilvl="5" w:tplc="03540910">
      <w:start w:val="1"/>
      <w:numFmt w:val="bullet"/>
      <w:lvlText w:val="■"/>
      <w:lvlJc w:val="left"/>
      <w:pPr>
        <w:ind w:left="4320" w:hanging="360"/>
      </w:pPr>
    </w:lvl>
    <w:lvl w:ilvl="6" w:tplc="FDBE030C">
      <w:start w:val="1"/>
      <w:numFmt w:val="bullet"/>
      <w:lvlText w:val="●"/>
      <w:lvlJc w:val="left"/>
      <w:pPr>
        <w:ind w:left="5040" w:hanging="360"/>
      </w:pPr>
    </w:lvl>
    <w:lvl w:ilvl="7" w:tplc="4962A0B0">
      <w:start w:val="1"/>
      <w:numFmt w:val="bullet"/>
      <w:lvlText w:val="●"/>
      <w:lvlJc w:val="left"/>
      <w:pPr>
        <w:ind w:left="5760" w:hanging="360"/>
      </w:pPr>
    </w:lvl>
    <w:lvl w:ilvl="8" w:tplc="E760D428">
      <w:start w:val="1"/>
      <w:numFmt w:val="bullet"/>
      <w:lvlText w:val="●"/>
      <w:lvlJc w:val="left"/>
      <w:pPr>
        <w:ind w:left="6480" w:hanging="360"/>
      </w:pPr>
    </w:lvl>
  </w:abstractNum>
  <w:num w:numId="1" w16cid:durableId="2047831150">
    <w:abstractNumId w:val="1"/>
    <w:lvlOverride w:ilvl="0">
      <w:startOverride w:val="1"/>
    </w:lvlOverride>
  </w:num>
  <w:num w:numId="2" w16cid:durableId="41557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51B"/>
    <w:rsid w:val="0000390F"/>
    <w:rsid w:val="002242EB"/>
    <w:rsid w:val="002E742E"/>
    <w:rsid w:val="003A551B"/>
    <w:rsid w:val="004A3C66"/>
    <w:rsid w:val="006E28D3"/>
    <w:rsid w:val="00702F78"/>
    <w:rsid w:val="00986512"/>
    <w:rsid w:val="00AE5056"/>
    <w:rsid w:val="00B205B5"/>
    <w:rsid w:val="00C06A73"/>
    <w:rsid w:val="00D14812"/>
    <w:rsid w:val="00D363CF"/>
    <w:rsid w:val="00DD6303"/>
    <w:rsid w:val="00EA18CA"/>
    <w:rsid w:val="00EB58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9E61F"/>
  <w15:docId w15:val="{5542B124-5904-40C6-B19F-C3ACDE24A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86512"/>
    <w:pPr>
      <w:tabs>
        <w:tab w:val="center" w:pos="4680"/>
        <w:tab w:val="right" w:pos="9360"/>
      </w:tabs>
    </w:pPr>
  </w:style>
  <w:style w:type="character" w:customStyle="1" w:styleId="HeaderChar">
    <w:name w:val="Header Char"/>
    <w:basedOn w:val="DefaultParagraphFont"/>
    <w:link w:val="Header"/>
    <w:uiPriority w:val="99"/>
    <w:rsid w:val="00986512"/>
  </w:style>
  <w:style w:type="paragraph" w:styleId="Footer">
    <w:name w:val="footer"/>
    <w:basedOn w:val="Normal"/>
    <w:link w:val="FooterChar"/>
    <w:uiPriority w:val="99"/>
    <w:unhideWhenUsed/>
    <w:rsid w:val="00986512"/>
    <w:pPr>
      <w:tabs>
        <w:tab w:val="center" w:pos="4680"/>
        <w:tab w:val="right" w:pos="9360"/>
      </w:tabs>
    </w:pPr>
  </w:style>
  <w:style w:type="character" w:customStyle="1" w:styleId="FooterChar">
    <w:name w:val="Footer Char"/>
    <w:basedOn w:val="DefaultParagraphFont"/>
    <w:link w:val="Footer"/>
    <w:uiPriority w:val="99"/>
    <w:rsid w:val="00986512"/>
  </w:style>
  <w:style w:type="character" w:styleId="UnresolvedMention">
    <w:name w:val="Unresolved Mention"/>
    <w:basedOn w:val="DefaultParagraphFont"/>
    <w:uiPriority w:val="99"/>
    <w:semiHidden/>
    <w:unhideWhenUsed/>
    <w:rsid w:val="00EA1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ulypap523@gmail.co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7</Pages>
  <Words>2434</Words>
  <Characters>13878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ASUS M415DA</cp:lastModifiedBy>
  <cp:revision>8</cp:revision>
  <dcterms:created xsi:type="dcterms:W3CDTF">2026-07-22T13:57:00Z</dcterms:created>
  <dcterms:modified xsi:type="dcterms:W3CDTF">2026-09-19T01:10:00Z</dcterms:modified>
</cp:coreProperties>
</file>